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E63E" w14:textId="77777777" w:rsidR="00F50F2A" w:rsidRPr="00690224" w:rsidRDefault="00F50F2A" w:rsidP="00F50F2A">
      <w:pPr>
        <w:ind w:firstLine="567"/>
        <w:jc w:val="right"/>
        <w:rPr>
          <w:lang w:val="ru-RU" w:eastAsia="ro-MD"/>
        </w:rPr>
      </w:pPr>
      <w:bookmarkStart w:id="0" w:name="_Hlk163722222"/>
      <w:r w:rsidRPr="00690224">
        <w:rPr>
          <w:b/>
          <w:bCs/>
          <w:lang w:val="ru-RU" w:eastAsia="ro-MD"/>
        </w:rPr>
        <w:t>ЕС</w:t>
      </w:r>
    </w:p>
    <w:p w14:paraId="2DD2E749" w14:textId="77777777" w:rsidR="00F50F2A" w:rsidRPr="00F50F2A" w:rsidRDefault="00F50F2A" w:rsidP="00F50F2A">
      <w:pPr>
        <w:jc w:val="center"/>
        <w:rPr>
          <w:b/>
          <w:bCs/>
          <w:lang w:val="ru-RU" w:eastAsia="ro-MD"/>
        </w:rPr>
      </w:pPr>
    </w:p>
    <w:p w14:paraId="6732A698" w14:textId="77777777" w:rsidR="00482BD6" w:rsidRPr="007544BA" w:rsidRDefault="00482BD6" w:rsidP="00F50F2A">
      <w:pPr>
        <w:jc w:val="center"/>
        <w:rPr>
          <w:b/>
          <w:bCs/>
          <w:lang w:val="ru-RU" w:eastAsia="ro-MD"/>
        </w:rPr>
      </w:pPr>
      <w:r w:rsidRPr="00482BD6">
        <w:rPr>
          <w:b/>
          <w:bCs/>
          <w:lang w:val="ru-RU" w:eastAsia="ro-MD"/>
        </w:rPr>
        <w:t>НАЦИОНАЛЬНЫЙ БАНК МОЛДОВЫ</w:t>
      </w:r>
    </w:p>
    <w:p w14:paraId="4FE30104" w14:textId="1D2DFC9F" w:rsidR="00F50F2A" w:rsidRDefault="00F50F2A" w:rsidP="00F50F2A">
      <w:pPr>
        <w:jc w:val="center"/>
        <w:rPr>
          <w:b/>
          <w:bCs/>
          <w:lang w:val="ru-RU" w:eastAsia="ro-MD"/>
        </w:rPr>
      </w:pPr>
    </w:p>
    <w:p w14:paraId="52AAC86D" w14:textId="77777777" w:rsidR="00F50F2A" w:rsidRDefault="00F50F2A" w:rsidP="00F50F2A">
      <w:pPr>
        <w:jc w:val="center"/>
        <w:rPr>
          <w:b/>
          <w:bCs/>
          <w:lang w:val="ru-RU" w:eastAsia="ro-MD"/>
        </w:rPr>
      </w:pPr>
    </w:p>
    <w:p w14:paraId="7CD7E37F" w14:textId="77777777" w:rsidR="00F50F2A" w:rsidRPr="00807ED5" w:rsidRDefault="00F50F2A" w:rsidP="00F50F2A">
      <w:pPr>
        <w:jc w:val="center"/>
        <w:rPr>
          <w:b/>
          <w:bCs/>
          <w:lang w:val="ru-RU" w:eastAsia="ro-MD"/>
        </w:rPr>
      </w:pPr>
      <w:r>
        <w:rPr>
          <w:b/>
          <w:bCs/>
          <w:lang w:val="ru-RU" w:eastAsia="ro-MD"/>
        </w:rPr>
        <w:t>ПОСТАНОВЛЕНИЕ</w:t>
      </w:r>
      <w:r w:rsidRPr="00807ED5">
        <w:rPr>
          <w:b/>
          <w:bCs/>
          <w:lang w:val="ru-RU" w:eastAsia="ro-MD"/>
        </w:rPr>
        <w:t xml:space="preserve">  </w:t>
      </w:r>
    </w:p>
    <w:p w14:paraId="013F808B" w14:textId="77777777" w:rsidR="00F50F2A" w:rsidRPr="00807ED5" w:rsidRDefault="00F50F2A" w:rsidP="00F50F2A">
      <w:pPr>
        <w:ind w:firstLine="567"/>
        <w:jc w:val="center"/>
        <w:rPr>
          <w:b/>
          <w:lang w:val="ru-RU" w:eastAsia="ro-MD"/>
        </w:rPr>
      </w:pPr>
    </w:p>
    <w:p w14:paraId="555FAD07" w14:textId="3C925DF2" w:rsidR="00C035A5" w:rsidRPr="007544BA" w:rsidRDefault="00482BD6" w:rsidP="00360518">
      <w:pPr>
        <w:jc w:val="center"/>
        <w:rPr>
          <w:b/>
          <w:color w:val="000000" w:themeColor="text1"/>
          <w:sz w:val="22"/>
          <w:szCs w:val="22"/>
          <w:lang w:val="ru-RU"/>
        </w:rPr>
      </w:pPr>
      <w:r>
        <w:rPr>
          <w:b/>
          <w:color w:val="000000" w:themeColor="text1"/>
          <w:sz w:val="22"/>
          <w:szCs w:val="22"/>
        </w:rPr>
        <w:t>o</w:t>
      </w:r>
      <w:r w:rsidR="00742085" w:rsidRPr="008C3FE2">
        <w:rPr>
          <w:b/>
          <w:color w:val="000000" w:themeColor="text1"/>
          <w:sz w:val="22"/>
          <w:szCs w:val="22"/>
          <w:lang w:val="ru-RU"/>
        </w:rPr>
        <w:t xml:space="preserve"> внесении изменений в Постановление Исполнительного комитета Национального банка Молдовы № </w:t>
      </w:r>
      <w:r w:rsidR="00146EA1" w:rsidRPr="008C3FE2">
        <w:rPr>
          <w:b/>
          <w:color w:val="000000" w:themeColor="text1"/>
          <w:sz w:val="22"/>
          <w:szCs w:val="22"/>
          <w:lang w:val="ru-RU"/>
        </w:rPr>
        <w:t>11</w:t>
      </w:r>
      <w:r w:rsidR="00360518" w:rsidRPr="008C3FE2">
        <w:rPr>
          <w:b/>
          <w:color w:val="000000" w:themeColor="text1"/>
          <w:sz w:val="22"/>
          <w:szCs w:val="22"/>
          <w:lang w:val="ru-RU"/>
        </w:rPr>
        <w:t>2</w:t>
      </w:r>
      <w:r w:rsidR="00146EA1" w:rsidRPr="008C3FE2">
        <w:rPr>
          <w:b/>
          <w:color w:val="000000" w:themeColor="text1"/>
          <w:sz w:val="22"/>
          <w:szCs w:val="22"/>
          <w:lang w:val="ru-RU"/>
        </w:rPr>
        <w:t xml:space="preserve">/2018 </w:t>
      </w:r>
      <w:r w:rsidR="00742085" w:rsidRPr="008C3FE2">
        <w:rPr>
          <w:b/>
          <w:color w:val="000000" w:themeColor="text1"/>
          <w:sz w:val="22"/>
          <w:szCs w:val="22"/>
          <w:lang w:val="ru-RU"/>
        </w:rPr>
        <w:t xml:space="preserve">об утверждении Регламента </w:t>
      </w:r>
      <w:r w:rsidR="0070040E" w:rsidRPr="008C3FE2">
        <w:rPr>
          <w:b/>
          <w:color w:val="000000" w:themeColor="text1"/>
          <w:sz w:val="22"/>
          <w:szCs w:val="22"/>
          <w:lang w:val="ru-RU"/>
        </w:rPr>
        <w:t xml:space="preserve">о техниках снижения кредитного риска, используемых банками </w:t>
      </w:r>
      <w:r w:rsidR="00146EA1" w:rsidRPr="008C3FE2">
        <w:rPr>
          <w:b/>
          <w:color w:val="000000" w:themeColor="text1"/>
          <w:sz w:val="22"/>
          <w:szCs w:val="22"/>
          <w:lang w:val="ru-RU"/>
        </w:rPr>
        <w:t xml:space="preserve"> </w:t>
      </w:r>
    </w:p>
    <w:p w14:paraId="01645F89" w14:textId="77777777" w:rsidR="00B37AF6" w:rsidRPr="007544BA" w:rsidRDefault="00B37AF6" w:rsidP="00360518">
      <w:pPr>
        <w:jc w:val="center"/>
        <w:rPr>
          <w:b/>
          <w:color w:val="000000" w:themeColor="text1"/>
          <w:sz w:val="22"/>
          <w:szCs w:val="22"/>
          <w:lang w:val="ru-RU"/>
        </w:rPr>
      </w:pPr>
    </w:p>
    <w:bookmarkEnd w:id="0"/>
    <w:p w14:paraId="4E00B130" w14:textId="6AEF9243" w:rsidR="00482BD6" w:rsidRPr="007544BA" w:rsidRDefault="00482BD6" w:rsidP="00482BD6">
      <w:pPr>
        <w:jc w:val="center"/>
        <w:rPr>
          <w:b/>
          <w:lang w:val="ru-RU" w:eastAsia="ro-MD"/>
        </w:rPr>
      </w:pPr>
      <w:r w:rsidRPr="00807ED5">
        <w:rPr>
          <w:b/>
          <w:lang w:val="ru-RU" w:eastAsia="ro-MD"/>
        </w:rPr>
        <w:t>№</w:t>
      </w:r>
      <w:r w:rsidRPr="007544BA">
        <w:rPr>
          <w:b/>
          <w:lang w:val="ru-RU" w:eastAsia="ro-MD"/>
        </w:rPr>
        <w:t xml:space="preserve"> 143</w:t>
      </w:r>
      <w:r w:rsidRPr="00807ED5">
        <w:rPr>
          <w:b/>
          <w:lang w:val="ru-RU" w:eastAsia="ro-MD"/>
        </w:rPr>
        <w:t xml:space="preserve"> </w:t>
      </w:r>
      <w:r>
        <w:rPr>
          <w:b/>
          <w:lang w:val="ru-RU" w:eastAsia="ro-MD"/>
        </w:rPr>
        <w:t>от</w:t>
      </w:r>
      <w:r w:rsidRPr="00807ED5">
        <w:rPr>
          <w:b/>
          <w:lang w:val="ru-RU" w:eastAsia="ro-MD"/>
        </w:rPr>
        <w:t xml:space="preserve"> </w:t>
      </w:r>
      <w:r w:rsidRPr="007544BA">
        <w:rPr>
          <w:b/>
          <w:lang w:val="ru-RU" w:eastAsia="ro-MD"/>
        </w:rPr>
        <w:t>17.06.</w:t>
      </w:r>
      <w:r w:rsidRPr="00807ED5">
        <w:rPr>
          <w:b/>
          <w:lang w:val="ru-RU" w:eastAsia="ro-MD"/>
        </w:rPr>
        <w:t>2026</w:t>
      </w:r>
    </w:p>
    <w:p w14:paraId="34A47BB6" w14:textId="2D2AA77E" w:rsidR="00482BD6" w:rsidRPr="007544BA" w:rsidRDefault="00482BD6" w:rsidP="00482BD6">
      <w:pPr>
        <w:ind w:firstLine="567"/>
        <w:jc w:val="center"/>
        <w:rPr>
          <w:i/>
          <w:iCs/>
          <w:lang w:val="ru-RU" w:eastAsia="ro-MD"/>
        </w:rPr>
      </w:pPr>
      <w:r w:rsidRPr="00482BD6">
        <w:rPr>
          <w:i/>
          <w:iCs/>
          <w:lang w:val="ru-RU" w:eastAsia="ro-MD"/>
        </w:rPr>
        <w:t xml:space="preserve">(в силу 01.07.2027, за исключением некоторых положений согласно </w:t>
      </w:r>
      <w:proofErr w:type="spellStart"/>
      <w:r w:rsidRPr="00482BD6">
        <w:rPr>
          <w:i/>
          <w:iCs/>
          <w:lang w:val="ru-RU" w:eastAsia="ro-MD"/>
        </w:rPr>
        <w:t>пкт</w:t>
      </w:r>
      <w:proofErr w:type="spellEnd"/>
      <w:r w:rsidRPr="00482BD6">
        <w:rPr>
          <w:i/>
          <w:iCs/>
          <w:lang w:val="ru-RU" w:eastAsia="ro-MD"/>
        </w:rPr>
        <w:t>.</w:t>
      </w:r>
      <w:r w:rsidRPr="007544BA">
        <w:rPr>
          <w:i/>
          <w:iCs/>
          <w:lang w:val="ru-RU" w:eastAsia="ro-MD"/>
        </w:rPr>
        <w:t>2</w:t>
      </w:r>
      <w:r w:rsidRPr="00482BD6">
        <w:rPr>
          <w:i/>
          <w:iCs/>
          <w:lang w:val="ru-RU" w:eastAsia="ro-MD"/>
        </w:rPr>
        <w:t>)</w:t>
      </w:r>
    </w:p>
    <w:p w14:paraId="134624E4" w14:textId="77777777" w:rsidR="00482BD6" w:rsidRPr="007544BA" w:rsidRDefault="00482BD6" w:rsidP="00482BD6">
      <w:pPr>
        <w:jc w:val="center"/>
        <w:rPr>
          <w:b/>
          <w:sz w:val="22"/>
          <w:szCs w:val="22"/>
          <w:lang w:val="ru-RU"/>
        </w:rPr>
      </w:pPr>
    </w:p>
    <w:p w14:paraId="6C3EAD55" w14:textId="2231143A" w:rsidR="00482BD6" w:rsidRPr="00267D54" w:rsidRDefault="00482BD6" w:rsidP="00482BD6">
      <w:pPr>
        <w:jc w:val="center"/>
        <w:rPr>
          <w:b/>
          <w:sz w:val="22"/>
          <w:szCs w:val="22"/>
          <w:lang w:val="ru-RU"/>
        </w:rPr>
      </w:pPr>
      <w:proofErr w:type="spellStart"/>
      <w:r w:rsidRPr="00267D54">
        <w:rPr>
          <w:b/>
          <w:sz w:val="22"/>
          <w:szCs w:val="22"/>
          <w:lang w:val="ru-RU"/>
        </w:rPr>
        <w:t>Мониторул</w:t>
      </w:r>
      <w:proofErr w:type="spellEnd"/>
      <w:r w:rsidRPr="00267D54">
        <w:rPr>
          <w:b/>
          <w:sz w:val="22"/>
          <w:szCs w:val="22"/>
          <w:lang w:val="ru-RU"/>
        </w:rPr>
        <w:t xml:space="preserve"> </w:t>
      </w:r>
      <w:proofErr w:type="spellStart"/>
      <w:r w:rsidRPr="00267D54">
        <w:rPr>
          <w:b/>
          <w:sz w:val="22"/>
          <w:szCs w:val="22"/>
          <w:lang w:val="ru-RU"/>
        </w:rPr>
        <w:t>Офичиал</w:t>
      </w:r>
      <w:proofErr w:type="spellEnd"/>
      <w:r w:rsidRPr="00267D54">
        <w:rPr>
          <w:b/>
          <w:sz w:val="22"/>
          <w:szCs w:val="22"/>
          <w:lang w:val="ru-RU"/>
        </w:rPr>
        <w:t xml:space="preserve"> ал Р. Молдова № </w:t>
      </w:r>
      <w:r w:rsidRPr="007544BA">
        <w:rPr>
          <w:b/>
          <w:sz w:val="22"/>
          <w:szCs w:val="22"/>
          <w:lang w:val="ru-RU"/>
        </w:rPr>
        <w:t>277</w:t>
      </w:r>
      <w:r w:rsidRPr="00267D54">
        <w:rPr>
          <w:b/>
          <w:sz w:val="22"/>
          <w:szCs w:val="22"/>
          <w:lang w:val="ru-RU"/>
        </w:rPr>
        <w:t>-</w:t>
      </w:r>
      <w:r w:rsidRPr="007544BA">
        <w:rPr>
          <w:b/>
          <w:sz w:val="22"/>
          <w:szCs w:val="22"/>
          <w:lang w:val="ru-RU"/>
        </w:rPr>
        <w:t>279</w:t>
      </w:r>
      <w:r w:rsidRPr="00267D54">
        <w:rPr>
          <w:b/>
          <w:sz w:val="22"/>
          <w:szCs w:val="22"/>
          <w:lang w:val="ru-RU"/>
        </w:rPr>
        <w:t xml:space="preserve"> ст. </w:t>
      </w:r>
      <w:r w:rsidRPr="007544BA">
        <w:rPr>
          <w:b/>
          <w:sz w:val="22"/>
          <w:szCs w:val="22"/>
          <w:lang w:val="ru-RU"/>
        </w:rPr>
        <w:t>489</w:t>
      </w:r>
      <w:r w:rsidRPr="00267D54">
        <w:rPr>
          <w:b/>
          <w:sz w:val="22"/>
          <w:szCs w:val="22"/>
          <w:lang w:val="ru-RU"/>
        </w:rPr>
        <w:t xml:space="preserve"> от 2</w:t>
      </w:r>
      <w:r w:rsidRPr="007544BA">
        <w:rPr>
          <w:b/>
          <w:sz w:val="22"/>
          <w:szCs w:val="22"/>
          <w:lang w:val="ru-RU"/>
        </w:rPr>
        <w:t>5</w:t>
      </w:r>
      <w:r w:rsidRPr="00267D54">
        <w:rPr>
          <w:b/>
          <w:sz w:val="22"/>
          <w:szCs w:val="22"/>
          <w:lang w:val="ru-RU"/>
        </w:rPr>
        <w:t>.0</w:t>
      </w:r>
      <w:r w:rsidRPr="007544BA">
        <w:rPr>
          <w:b/>
          <w:sz w:val="22"/>
          <w:szCs w:val="22"/>
          <w:lang w:val="ru-RU"/>
        </w:rPr>
        <w:t>6</w:t>
      </w:r>
      <w:r w:rsidRPr="00267D54">
        <w:rPr>
          <w:b/>
          <w:sz w:val="22"/>
          <w:szCs w:val="22"/>
          <w:lang w:val="ru-RU"/>
        </w:rPr>
        <w:t>.2026</w:t>
      </w:r>
    </w:p>
    <w:p w14:paraId="3B8C8DD7" w14:textId="77777777" w:rsidR="00482BD6" w:rsidRPr="00267D54" w:rsidRDefault="00482BD6" w:rsidP="00482BD6">
      <w:pPr>
        <w:jc w:val="center"/>
        <w:rPr>
          <w:b/>
          <w:sz w:val="22"/>
          <w:szCs w:val="22"/>
          <w:lang w:val="ru-RU"/>
        </w:rPr>
      </w:pPr>
      <w:r w:rsidRPr="00267D54">
        <w:rPr>
          <w:b/>
          <w:sz w:val="22"/>
          <w:szCs w:val="22"/>
          <w:lang w:val="ru-RU"/>
        </w:rPr>
        <w:t xml:space="preserve"> </w:t>
      </w:r>
    </w:p>
    <w:p w14:paraId="24B91A9D" w14:textId="1A2A439B" w:rsidR="00482BD6" w:rsidRPr="007544BA" w:rsidRDefault="00482BD6" w:rsidP="00482BD6">
      <w:pPr>
        <w:ind w:firstLine="567"/>
        <w:jc w:val="center"/>
        <w:rPr>
          <w:lang w:val="ru-RU" w:eastAsia="ro-MD"/>
        </w:rPr>
      </w:pPr>
      <w:r w:rsidRPr="00267D54">
        <w:rPr>
          <w:b/>
          <w:sz w:val="22"/>
          <w:szCs w:val="22"/>
          <w:lang w:val="ru-RU"/>
        </w:rPr>
        <w:t>* * *</w:t>
      </w:r>
    </w:p>
    <w:p w14:paraId="527DBD48" w14:textId="77777777" w:rsidR="00C035A5" w:rsidRPr="00884D1F" w:rsidRDefault="00C035A5" w:rsidP="00C035A5">
      <w:pPr>
        <w:jc w:val="center"/>
        <w:rPr>
          <w:b/>
          <w:color w:val="000000" w:themeColor="text1"/>
          <w:sz w:val="22"/>
          <w:szCs w:val="22"/>
          <w:lang w:val="ro-MD"/>
        </w:rPr>
      </w:pPr>
    </w:p>
    <w:p w14:paraId="2B448928" w14:textId="067C861F" w:rsidR="008C3FE2" w:rsidRPr="008C3FE2" w:rsidRDefault="008C3FE2" w:rsidP="008C3FE2">
      <w:pPr>
        <w:tabs>
          <w:tab w:val="left" w:pos="1134"/>
        </w:tabs>
        <w:ind w:firstLine="567"/>
        <w:jc w:val="both"/>
        <w:rPr>
          <w:sz w:val="22"/>
          <w:szCs w:val="22"/>
          <w:lang w:val="ru-MD" w:eastAsia="ru-RU"/>
        </w:rPr>
      </w:pPr>
      <w:r w:rsidRPr="008C3FE2">
        <w:rPr>
          <w:sz w:val="22"/>
          <w:szCs w:val="22"/>
          <w:lang w:val="ru-MD" w:eastAsia="ru-RU"/>
        </w:rPr>
        <w:t>На основании ст.</w:t>
      </w:r>
      <w:r w:rsidRPr="008C3FE2">
        <w:rPr>
          <w:sz w:val="22"/>
          <w:szCs w:val="22"/>
          <w:lang w:val="ru-MD"/>
        </w:rPr>
        <w:t xml:space="preserve"> </w:t>
      </w:r>
      <w:r w:rsidRPr="008C3FE2">
        <w:rPr>
          <w:sz w:val="22"/>
          <w:szCs w:val="22"/>
          <w:lang w:val="ru-MD" w:eastAsia="ru-RU"/>
        </w:rPr>
        <w:t xml:space="preserve">67 Закона о деятельности банков № 202/2017 (Официальный монитор Республики Молдова, 2017, № 434–439, ст.727), Исполнительный комитет Национального банка Молдовы  </w:t>
      </w:r>
    </w:p>
    <w:p w14:paraId="7F4E7E6C" w14:textId="77777777" w:rsidR="008C3FE2" w:rsidRPr="00807ED5" w:rsidRDefault="008C3FE2" w:rsidP="008C3FE2">
      <w:pPr>
        <w:tabs>
          <w:tab w:val="left" w:pos="1134"/>
        </w:tabs>
        <w:ind w:firstLine="720"/>
        <w:jc w:val="both"/>
        <w:rPr>
          <w:b/>
          <w:sz w:val="22"/>
          <w:szCs w:val="22"/>
          <w:lang w:val="ru-RU" w:eastAsia="ru-RU"/>
        </w:rPr>
      </w:pPr>
      <w:r w:rsidRPr="008C3FE2">
        <w:rPr>
          <w:b/>
          <w:sz w:val="22"/>
          <w:szCs w:val="22"/>
          <w:lang w:val="ru-MD" w:eastAsia="ru-RU"/>
        </w:rPr>
        <w:t>ПОСТАНОВЛЯЕТ</w:t>
      </w:r>
      <w:r w:rsidRPr="00807ED5">
        <w:rPr>
          <w:b/>
          <w:sz w:val="22"/>
          <w:szCs w:val="22"/>
          <w:lang w:val="ru-RU" w:eastAsia="ru-RU"/>
        </w:rPr>
        <w:t>:</w:t>
      </w:r>
    </w:p>
    <w:p w14:paraId="2F0699BC" w14:textId="77777777" w:rsidR="008C3FE2" w:rsidRPr="00807ED5" w:rsidRDefault="008C3FE2" w:rsidP="00C035A5">
      <w:pPr>
        <w:tabs>
          <w:tab w:val="left" w:pos="1134"/>
        </w:tabs>
        <w:ind w:firstLine="426"/>
        <w:jc w:val="both"/>
        <w:rPr>
          <w:color w:val="000000" w:themeColor="text1"/>
          <w:sz w:val="22"/>
          <w:szCs w:val="22"/>
          <w:lang w:val="ru-RU" w:eastAsia="ru-RU"/>
        </w:rPr>
      </w:pPr>
    </w:p>
    <w:p w14:paraId="41D73B86" w14:textId="024D9550" w:rsidR="00247EC1" w:rsidRPr="00BF38F1" w:rsidRDefault="008C3FE2" w:rsidP="00247EC1">
      <w:pPr>
        <w:jc w:val="both"/>
        <w:rPr>
          <w:bCs/>
          <w:sz w:val="22"/>
          <w:szCs w:val="22"/>
          <w:lang w:val="ru-RU" w:eastAsia="ru-RU"/>
        </w:rPr>
      </w:pPr>
      <w:r w:rsidRPr="00BF38F1">
        <w:rPr>
          <w:bCs/>
          <w:sz w:val="22"/>
          <w:szCs w:val="22"/>
          <w:lang w:val="ru-RU" w:eastAsia="ru-RU"/>
        </w:rPr>
        <w:t>Настоящее постановление</w:t>
      </w:r>
      <w:r w:rsidRPr="00BF38F1">
        <w:rPr>
          <w:bCs/>
          <w:color w:val="000000" w:themeColor="text1"/>
          <w:sz w:val="22"/>
          <w:szCs w:val="22"/>
          <w:lang w:val="ru-RU" w:eastAsia="ru-RU"/>
        </w:rPr>
        <w:t xml:space="preserve"> </w:t>
      </w:r>
      <w:r w:rsidR="00506DB8" w:rsidRPr="00506DB8">
        <w:rPr>
          <w:bCs/>
          <w:color w:val="000000" w:themeColor="text1"/>
          <w:sz w:val="22"/>
          <w:szCs w:val="22"/>
          <w:lang w:val="ru-RU" w:eastAsia="ru-RU"/>
        </w:rPr>
        <w:t xml:space="preserve">частично перекладывает (перекладывает </w:t>
      </w:r>
      <w:r w:rsidR="00101809" w:rsidRPr="00BF38F1">
        <w:rPr>
          <w:bCs/>
          <w:color w:val="000000" w:themeColor="text1"/>
          <w:sz w:val="22"/>
          <w:szCs w:val="22"/>
          <w:lang w:val="ru-RU" w:eastAsia="ru-RU"/>
        </w:rPr>
        <w:t>ст</w:t>
      </w:r>
      <w:r w:rsidR="00CD3634" w:rsidRPr="00BF38F1">
        <w:rPr>
          <w:bCs/>
          <w:color w:val="000000" w:themeColor="text1"/>
          <w:sz w:val="22"/>
          <w:szCs w:val="22"/>
          <w:lang w:val="ru-RU" w:eastAsia="ru-RU"/>
        </w:rPr>
        <w:t xml:space="preserve">. 4 </w:t>
      </w:r>
      <w:r w:rsidR="00101809" w:rsidRPr="00BF38F1">
        <w:rPr>
          <w:bCs/>
          <w:color w:val="000000" w:themeColor="text1"/>
          <w:sz w:val="22"/>
          <w:szCs w:val="22"/>
          <w:lang w:val="ru-RU" w:eastAsia="ru-RU"/>
        </w:rPr>
        <w:t>часть</w:t>
      </w:r>
      <w:r w:rsidR="00CD3634" w:rsidRPr="00BF38F1">
        <w:rPr>
          <w:bCs/>
          <w:color w:val="000000" w:themeColor="text1"/>
          <w:sz w:val="22"/>
          <w:szCs w:val="22"/>
          <w:lang w:val="ru-RU" w:eastAsia="ru-RU"/>
        </w:rPr>
        <w:t xml:space="preserve"> (1) </w:t>
      </w:r>
      <w:r w:rsidR="00101809" w:rsidRPr="00BF38F1">
        <w:rPr>
          <w:bCs/>
          <w:color w:val="000000" w:themeColor="text1"/>
          <w:sz w:val="22"/>
          <w:szCs w:val="22"/>
          <w:lang w:val="ru-RU" w:eastAsia="ru-RU"/>
        </w:rPr>
        <w:t>п</w:t>
      </w:r>
      <w:r w:rsidR="00CD3634" w:rsidRPr="00BF38F1">
        <w:rPr>
          <w:bCs/>
          <w:color w:val="000000" w:themeColor="text1"/>
          <w:sz w:val="22"/>
          <w:szCs w:val="22"/>
          <w:lang w:val="ru-RU" w:eastAsia="ru-RU"/>
        </w:rPr>
        <w:t xml:space="preserve">. </w:t>
      </w:r>
      <w:r w:rsidR="00F71B95" w:rsidRPr="00BF38F1">
        <w:rPr>
          <w:bCs/>
          <w:color w:val="000000" w:themeColor="text1"/>
          <w:sz w:val="22"/>
          <w:szCs w:val="22"/>
          <w:lang w:val="ru-RU" w:eastAsia="ru-RU"/>
        </w:rPr>
        <w:t xml:space="preserve">60a, </w:t>
      </w:r>
      <w:r w:rsidR="00CD3634" w:rsidRPr="00BF38F1">
        <w:rPr>
          <w:bCs/>
          <w:color w:val="000000" w:themeColor="text1"/>
          <w:sz w:val="22"/>
          <w:szCs w:val="22"/>
          <w:lang w:val="ru-RU" w:eastAsia="ru-RU"/>
        </w:rPr>
        <w:t>74a,</w:t>
      </w:r>
      <w:r w:rsidR="00506DB8" w:rsidRPr="007544BA">
        <w:rPr>
          <w:bCs/>
          <w:color w:val="000000" w:themeColor="text1"/>
          <w:sz w:val="22"/>
          <w:szCs w:val="22"/>
          <w:lang w:val="ru-RU" w:eastAsia="ru-RU"/>
        </w:rPr>
        <w:t xml:space="preserve"> 111,</w:t>
      </w:r>
      <w:r w:rsidR="00CD3634" w:rsidRPr="00BF38F1">
        <w:rPr>
          <w:bCs/>
          <w:color w:val="000000" w:themeColor="text1"/>
          <w:sz w:val="22"/>
          <w:szCs w:val="22"/>
          <w:lang w:val="ru-RU" w:eastAsia="ru-RU"/>
        </w:rPr>
        <w:t xml:space="preserve"> </w:t>
      </w:r>
      <w:r w:rsidR="00101809" w:rsidRPr="00BF38F1">
        <w:rPr>
          <w:bCs/>
          <w:color w:val="000000" w:themeColor="text1"/>
          <w:sz w:val="22"/>
          <w:szCs w:val="22"/>
          <w:lang w:val="ru-RU" w:eastAsia="ru-RU"/>
        </w:rPr>
        <w:t>ст</w:t>
      </w:r>
      <w:r w:rsidR="00235BF9" w:rsidRPr="00BF38F1">
        <w:rPr>
          <w:bCs/>
          <w:color w:val="000000" w:themeColor="text1"/>
          <w:sz w:val="22"/>
          <w:szCs w:val="22"/>
          <w:lang w:val="ru-RU" w:eastAsia="ru-RU"/>
        </w:rPr>
        <w:t xml:space="preserve">.192 </w:t>
      </w:r>
      <w:r w:rsidR="00101809" w:rsidRPr="00BF38F1">
        <w:rPr>
          <w:bCs/>
          <w:color w:val="000000" w:themeColor="text1"/>
          <w:sz w:val="22"/>
          <w:szCs w:val="22"/>
          <w:lang w:val="ru-RU" w:eastAsia="ru-RU"/>
        </w:rPr>
        <w:t>п</w:t>
      </w:r>
      <w:r w:rsidR="00235BF9" w:rsidRPr="00BF38F1">
        <w:rPr>
          <w:bCs/>
          <w:color w:val="000000" w:themeColor="text1"/>
          <w:sz w:val="22"/>
          <w:szCs w:val="22"/>
          <w:lang w:val="ru-RU" w:eastAsia="ru-RU"/>
        </w:rPr>
        <w:t xml:space="preserve">.5; </w:t>
      </w:r>
      <w:r w:rsidR="00101809" w:rsidRPr="00BF38F1">
        <w:rPr>
          <w:bCs/>
          <w:color w:val="000000" w:themeColor="text1"/>
          <w:sz w:val="22"/>
          <w:szCs w:val="22"/>
          <w:lang w:val="ru-RU" w:eastAsia="ru-RU"/>
        </w:rPr>
        <w:t>ст</w:t>
      </w:r>
      <w:r w:rsidR="00CD3634" w:rsidRPr="00BF38F1">
        <w:rPr>
          <w:bCs/>
          <w:color w:val="000000" w:themeColor="text1"/>
          <w:sz w:val="22"/>
          <w:szCs w:val="22"/>
          <w:lang w:val="ru-RU" w:eastAsia="ru-RU"/>
        </w:rPr>
        <w:t xml:space="preserve">. </w:t>
      </w:r>
      <w:r w:rsidR="0028358D" w:rsidRPr="00BF38F1">
        <w:rPr>
          <w:bCs/>
          <w:color w:val="000000" w:themeColor="text1"/>
          <w:sz w:val="22"/>
          <w:szCs w:val="22"/>
          <w:lang w:val="ru-RU" w:eastAsia="ru-RU"/>
        </w:rPr>
        <w:t>19</w:t>
      </w:r>
      <w:r w:rsidR="00235BF9" w:rsidRPr="00BF38F1">
        <w:rPr>
          <w:bCs/>
          <w:color w:val="000000" w:themeColor="text1"/>
          <w:sz w:val="22"/>
          <w:szCs w:val="22"/>
          <w:lang w:val="ru-RU" w:eastAsia="ru-RU"/>
        </w:rPr>
        <w:t>3</w:t>
      </w:r>
      <w:r w:rsidR="0028358D" w:rsidRPr="00BF38F1">
        <w:rPr>
          <w:bCs/>
          <w:color w:val="000000" w:themeColor="text1"/>
          <w:sz w:val="22"/>
          <w:szCs w:val="22"/>
          <w:lang w:val="ru-RU" w:eastAsia="ru-RU"/>
        </w:rPr>
        <w:t xml:space="preserve"> (7); </w:t>
      </w:r>
      <w:r w:rsidR="00101809" w:rsidRPr="00BF38F1">
        <w:rPr>
          <w:bCs/>
          <w:color w:val="000000" w:themeColor="text1"/>
          <w:sz w:val="22"/>
          <w:szCs w:val="22"/>
          <w:lang w:val="ru-RU" w:eastAsia="ru-RU"/>
        </w:rPr>
        <w:t>ст</w:t>
      </w:r>
      <w:r w:rsidR="0028358D" w:rsidRPr="00BF38F1">
        <w:rPr>
          <w:bCs/>
          <w:color w:val="000000" w:themeColor="text1"/>
          <w:sz w:val="22"/>
          <w:szCs w:val="22"/>
          <w:lang w:val="ru-RU" w:eastAsia="ru-RU"/>
        </w:rPr>
        <w:t>.197 (5)</w:t>
      </w:r>
      <w:r w:rsidR="00A03197" w:rsidRPr="00BF38F1">
        <w:rPr>
          <w:bCs/>
          <w:color w:val="000000" w:themeColor="text1"/>
          <w:sz w:val="22"/>
          <w:szCs w:val="22"/>
          <w:lang w:val="ru-RU" w:eastAsia="ru-RU"/>
        </w:rPr>
        <w:t>, (6)</w:t>
      </w:r>
      <w:r w:rsidR="0028358D" w:rsidRPr="00BF38F1">
        <w:rPr>
          <w:bCs/>
          <w:color w:val="000000" w:themeColor="text1"/>
          <w:sz w:val="22"/>
          <w:szCs w:val="22"/>
          <w:lang w:val="ru-RU" w:eastAsia="ru-RU"/>
        </w:rPr>
        <w:t xml:space="preserve">; </w:t>
      </w:r>
      <w:r w:rsidR="00101809"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.199 (1)-(7); </w:t>
      </w:r>
      <w:r w:rsidR="00101809"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.201 (2);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.204 (3);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.204a;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.209-211;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.212 (2);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.221 (1)-(7);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.229 (1)-(3);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.230-232 (1)-(3);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 xml:space="preserve">.234; </w:t>
      </w:r>
      <w:r w:rsidR="00247EC1" w:rsidRPr="00BF38F1">
        <w:rPr>
          <w:bCs/>
          <w:color w:val="000000" w:themeColor="text1"/>
          <w:sz w:val="22"/>
          <w:szCs w:val="22"/>
          <w:lang w:val="ru-RU" w:eastAsia="ru-RU"/>
        </w:rPr>
        <w:t>ст</w:t>
      </w:r>
      <w:r w:rsidR="0028358D" w:rsidRPr="00BF38F1">
        <w:rPr>
          <w:bCs/>
          <w:color w:val="000000" w:themeColor="text1"/>
          <w:sz w:val="22"/>
          <w:szCs w:val="22"/>
          <w:lang w:val="ru-RU" w:eastAsia="ru-RU"/>
        </w:rPr>
        <w:t>.235a-236a)</w:t>
      </w:r>
      <w:r w:rsidR="00CD3634" w:rsidRPr="00BF38F1">
        <w:rPr>
          <w:bCs/>
          <w:color w:val="000000" w:themeColor="text1"/>
          <w:sz w:val="22"/>
          <w:szCs w:val="22"/>
          <w:lang w:val="ru-RU" w:eastAsia="ru-RU"/>
        </w:rPr>
        <w:t xml:space="preserve"> </w:t>
      </w:r>
      <w:r w:rsidR="00247EC1" w:rsidRPr="00BF38F1">
        <w:rPr>
          <w:sz w:val="22"/>
          <w:szCs w:val="22"/>
          <w:lang w:val="ru-RU" w:eastAsia="ro-MD"/>
        </w:rPr>
        <w:t>Регламента № 575/2013 Европейского парламента и Совета от 26 июня 2013 года о пруденциальных требованиях к кредитным организациям и инвестиционным обществам и о внесении изменений в Регламент (ЕС) № 648/2012, опубликованного в Официальном журнале Европейского Союза L 176 от 27 июня 2013 года, CELEX: 32013R0575, с последними изменениями, внесенными Регламентом (ЕС) 2025/1215 Европейского парламента и Совета от 17 июня 2025 года</w:t>
      </w:r>
      <w:r w:rsidR="00247EC1" w:rsidRPr="00BF38F1">
        <w:rPr>
          <w:bCs/>
          <w:sz w:val="22"/>
          <w:szCs w:val="22"/>
          <w:lang w:val="ru-RU" w:eastAsia="ru-RU"/>
        </w:rPr>
        <w:t xml:space="preserve">; </w:t>
      </w:r>
    </w:p>
    <w:p w14:paraId="372B951F" w14:textId="7913617D" w:rsidR="00247EC1" w:rsidRDefault="00247EC1" w:rsidP="00CD3634">
      <w:pPr>
        <w:tabs>
          <w:tab w:val="left" w:pos="1134"/>
        </w:tabs>
        <w:ind w:firstLine="426"/>
        <w:jc w:val="both"/>
        <w:rPr>
          <w:bCs/>
          <w:color w:val="000000" w:themeColor="text1"/>
          <w:sz w:val="22"/>
          <w:szCs w:val="22"/>
          <w:lang w:val="ru-RU" w:eastAsia="ru-RU"/>
        </w:rPr>
      </w:pPr>
    </w:p>
    <w:p w14:paraId="1FBEC95A" w14:textId="383111C8" w:rsidR="00C035A5" w:rsidRPr="00565C04" w:rsidRDefault="005A53A8" w:rsidP="00390BFE">
      <w:pPr>
        <w:pStyle w:val="ListParagraph"/>
        <w:numPr>
          <w:ilvl w:val="0"/>
          <w:numId w:val="27"/>
        </w:numPr>
        <w:tabs>
          <w:tab w:val="left" w:pos="567"/>
          <w:tab w:val="left" w:pos="720"/>
        </w:tabs>
        <w:ind w:left="0" w:firstLine="567"/>
        <w:jc w:val="both"/>
        <w:rPr>
          <w:color w:val="000000" w:themeColor="text1"/>
          <w:sz w:val="22"/>
          <w:szCs w:val="22"/>
          <w:lang w:val="ru-RU"/>
        </w:rPr>
      </w:pPr>
      <w:bookmarkStart w:id="1" w:name="_Hlk168992658"/>
      <w:r w:rsidRPr="00565C04">
        <w:rPr>
          <w:color w:val="000000" w:themeColor="text1"/>
          <w:sz w:val="22"/>
          <w:szCs w:val="22"/>
          <w:lang w:val="ru-RU"/>
        </w:rPr>
        <w:t xml:space="preserve">В Постановление </w:t>
      </w:r>
      <w:r w:rsidR="0081158C" w:rsidRPr="00565C04">
        <w:rPr>
          <w:bCs/>
          <w:color w:val="000000" w:themeColor="text1"/>
          <w:sz w:val="22"/>
          <w:szCs w:val="22"/>
          <w:lang w:val="ru-RU"/>
        </w:rPr>
        <w:t>Исполнительного комитета Национального банка Молдовы № 112/2018 об утверждении Регламента о техниках снижения кредитного риска, используемых банками</w:t>
      </w:r>
      <w:r w:rsidR="0081158C" w:rsidRPr="00565C04">
        <w:rPr>
          <w:b/>
          <w:color w:val="000000" w:themeColor="text1"/>
          <w:sz w:val="22"/>
          <w:szCs w:val="22"/>
          <w:lang w:val="ru-RU"/>
        </w:rPr>
        <w:t xml:space="preserve">  </w:t>
      </w:r>
      <w:r w:rsidR="00123A40" w:rsidRPr="00565C04">
        <w:rPr>
          <w:color w:val="000000" w:themeColor="text1"/>
          <w:sz w:val="22"/>
          <w:szCs w:val="22"/>
          <w:lang w:val="ru-RU"/>
        </w:rPr>
        <w:t xml:space="preserve"> </w:t>
      </w:r>
      <w:r w:rsidR="00646CFD" w:rsidRPr="00565C04">
        <w:rPr>
          <w:color w:val="000000" w:themeColor="text1"/>
          <w:sz w:val="22"/>
          <w:szCs w:val="22"/>
          <w:lang w:val="ru-RU" w:eastAsia="ru-RU"/>
        </w:rPr>
        <w:t>(</w:t>
      </w:r>
      <w:r w:rsidR="0081158C" w:rsidRPr="00565C04">
        <w:rPr>
          <w:sz w:val="22"/>
          <w:szCs w:val="22"/>
          <w:lang w:val="ru-RU" w:eastAsia="ru-RU"/>
        </w:rPr>
        <w:t>Официальный монитор Республики Молдова</w:t>
      </w:r>
      <w:r w:rsidR="00646CFD" w:rsidRPr="00565C04">
        <w:rPr>
          <w:color w:val="000000" w:themeColor="text1"/>
          <w:sz w:val="22"/>
          <w:szCs w:val="22"/>
          <w:lang w:val="ru-RU" w:eastAsia="ru-RU"/>
        </w:rPr>
        <w:t>, 201</w:t>
      </w:r>
      <w:r w:rsidR="0067578C" w:rsidRPr="00565C04">
        <w:rPr>
          <w:color w:val="000000" w:themeColor="text1"/>
          <w:sz w:val="22"/>
          <w:szCs w:val="22"/>
          <w:lang w:val="ru-RU" w:eastAsia="ru-RU"/>
        </w:rPr>
        <w:t>8</w:t>
      </w:r>
      <w:r w:rsidR="00646CFD" w:rsidRPr="00565C04">
        <w:rPr>
          <w:color w:val="000000" w:themeColor="text1"/>
          <w:sz w:val="22"/>
          <w:szCs w:val="22"/>
          <w:lang w:val="ru-RU" w:eastAsia="ru-RU"/>
        </w:rPr>
        <w:t xml:space="preserve">, </w:t>
      </w:r>
      <w:r w:rsidR="0081158C" w:rsidRPr="00565C04">
        <w:rPr>
          <w:color w:val="000000" w:themeColor="text1"/>
          <w:sz w:val="22"/>
          <w:szCs w:val="22"/>
          <w:lang w:val="ru-RU" w:eastAsia="ru-RU"/>
        </w:rPr>
        <w:t>№</w:t>
      </w:r>
      <w:r w:rsidR="00646CFD" w:rsidRPr="00565C04">
        <w:rPr>
          <w:color w:val="000000" w:themeColor="text1"/>
          <w:sz w:val="22"/>
          <w:szCs w:val="22"/>
          <w:lang w:val="ru-RU" w:eastAsia="ru-RU"/>
        </w:rPr>
        <w:t>1</w:t>
      </w:r>
      <w:r w:rsidR="0067578C" w:rsidRPr="00565C04">
        <w:rPr>
          <w:color w:val="000000" w:themeColor="text1"/>
          <w:sz w:val="22"/>
          <w:szCs w:val="22"/>
          <w:lang w:val="ru-RU" w:eastAsia="ru-RU"/>
        </w:rPr>
        <w:t>83</w:t>
      </w:r>
      <w:r w:rsidR="00AB0827" w:rsidRPr="00565C04">
        <w:rPr>
          <w:color w:val="000000" w:themeColor="text1"/>
          <w:sz w:val="22"/>
          <w:szCs w:val="22"/>
          <w:lang w:val="ru-RU" w:eastAsia="ru-RU"/>
        </w:rPr>
        <w:t>-</w:t>
      </w:r>
      <w:r w:rsidR="0067578C" w:rsidRPr="00565C04">
        <w:rPr>
          <w:color w:val="000000" w:themeColor="text1"/>
          <w:sz w:val="22"/>
          <w:szCs w:val="22"/>
          <w:lang w:val="ru-RU" w:eastAsia="ru-RU"/>
        </w:rPr>
        <w:t>194</w:t>
      </w:r>
      <w:r w:rsidR="00646CFD" w:rsidRPr="00565C04">
        <w:rPr>
          <w:color w:val="000000" w:themeColor="text1"/>
          <w:sz w:val="22"/>
          <w:szCs w:val="22"/>
          <w:lang w:val="ru-RU" w:eastAsia="ru-RU"/>
        </w:rPr>
        <w:t xml:space="preserve">, </w:t>
      </w:r>
      <w:r w:rsidR="0081158C" w:rsidRPr="00565C04">
        <w:rPr>
          <w:color w:val="000000" w:themeColor="text1"/>
          <w:sz w:val="22"/>
          <w:szCs w:val="22"/>
          <w:lang w:val="ru-RU" w:eastAsia="ru-RU"/>
        </w:rPr>
        <w:t>ст.</w:t>
      </w:r>
      <w:r w:rsidR="0067578C" w:rsidRPr="00565C04">
        <w:rPr>
          <w:color w:val="000000" w:themeColor="text1"/>
          <w:sz w:val="22"/>
          <w:szCs w:val="22"/>
          <w:lang w:val="ru-RU" w:eastAsia="ru-RU"/>
        </w:rPr>
        <w:t>9</w:t>
      </w:r>
      <w:r w:rsidR="007C2BB2" w:rsidRPr="00565C04">
        <w:rPr>
          <w:color w:val="000000" w:themeColor="text1"/>
          <w:sz w:val="22"/>
          <w:szCs w:val="22"/>
          <w:lang w:val="ru-RU" w:eastAsia="ru-RU"/>
        </w:rPr>
        <w:t>0</w:t>
      </w:r>
      <w:r w:rsidR="00390BFE" w:rsidRPr="00565C04">
        <w:rPr>
          <w:color w:val="000000" w:themeColor="text1"/>
          <w:sz w:val="22"/>
          <w:szCs w:val="22"/>
          <w:lang w:val="ru-RU" w:eastAsia="ru-RU"/>
        </w:rPr>
        <w:t>2</w:t>
      </w:r>
      <w:r w:rsidR="00646CFD" w:rsidRPr="00565C04">
        <w:rPr>
          <w:color w:val="000000" w:themeColor="text1"/>
          <w:sz w:val="22"/>
          <w:szCs w:val="22"/>
          <w:lang w:val="ru-RU" w:eastAsia="ru-RU"/>
        </w:rPr>
        <w:t xml:space="preserve">), </w:t>
      </w:r>
      <w:r w:rsidR="0081158C" w:rsidRPr="00565C04">
        <w:rPr>
          <w:color w:val="000000" w:themeColor="text1"/>
          <w:sz w:val="22"/>
          <w:szCs w:val="22"/>
          <w:lang w:val="ru-RU" w:eastAsia="ru-RU"/>
        </w:rPr>
        <w:t xml:space="preserve">зарегистрированное в Министерстве юстиции Республики Молдова под № </w:t>
      </w:r>
      <w:r w:rsidR="0067578C" w:rsidRPr="00565C04">
        <w:rPr>
          <w:color w:val="000000" w:themeColor="text1"/>
          <w:sz w:val="22"/>
          <w:szCs w:val="22"/>
          <w:lang w:val="ru-RU" w:eastAsia="ru-RU"/>
        </w:rPr>
        <w:t>13</w:t>
      </w:r>
      <w:r w:rsidR="00390BFE" w:rsidRPr="00565C04">
        <w:rPr>
          <w:color w:val="000000" w:themeColor="text1"/>
          <w:sz w:val="22"/>
          <w:szCs w:val="22"/>
          <w:lang w:val="ru-RU" w:eastAsia="ru-RU"/>
        </w:rPr>
        <w:t>29</w:t>
      </w:r>
      <w:r w:rsidR="00646CFD" w:rsidRPr="00565C04">
        <w:rPr>
          <w:color w:val="000000" w:themeColor="text1"/>
          <w:sz w:val="22"/>
          <w:szCs w:val="22"/>
          <w:lang w:val="ru-RU" w:eastAsia="ru-RU"/>
        </w:rPr>
        <w:t>/201</w:t>
      </w:r>
      <w:r w:rsidR="00895950" w:rsidRPr="00565C04">
        <w:rPr>
          <w:color w:val="000000" w:themeColor="text1"/>
          <w:sz w:val="22"/>
          <w:szCs w:val="22"/>
          <w:lang w:val="ru-RU" w:eastAsia="ru-RU"/>
        </w:rPr>
        <w:t>8</w:t>
      </w:r>
      <w:r w:rsidR="00646CFD" w:rsidRPr="00565C04">
        <w:rPr>
          <w:color w:val="000000" w:themeColor="text1"/>
          <w:sz w:val="22"/>
          <w:szCs w:val="22"/>
          <w:lang w:val="ru-RU" w:eastAsia="ru-RU"/>
        </w:rPr>
        <w:t xml:space="preserve">, </w:t>
      </w:r>
      <w:r w:rsidR="00565C04" w:rsidRPr="00565C04">
        <w:rPr>
          <w:color w:val="000000" w:themeColor="text1"/>
          <w:sz w:val="22"/>
          <w:szCs w:val="22"/>
          <w:lang w:val="ru-RU" w:eastAsia="ru-RU"/>
        </w:rPr>
        <w:t>внести следующие изменения</w:t>
      </w:r>
      <w:r w:rsidR="00646CFD" w:rsidRPr="00565C04">
        <w:rPr>
          <w:color w:val="000000" w:themeColor="text1"/>
          <w:sz w:val="22"/>
          <w:szCs w:val="22"/>
          <w:lang w:val="ru-RU" w:eastAsia="ru-RU"/>
        </w:rPr>
        <w:t>:</w:t>
      </w:r>
    </w:p>
    <w:bookmarkEnd w:id="1"/>
    <w:p w14:paraId="13B556B2" w14:textId="00EED9C6" w:rsidR="00275B40" w:rsidRPr="00884D1F" w:rsidRDefault="00565C04" w:rsidP="005A2ADB">
      <w:pPr>
        <w:pStyle w:val="ListParagraph"/>
        <w:numPr>
          <w:ilvl w:val="1"/>
          <w:numId w:val="27"/>
        </w:numPr>
        <w:tabs>
          <w:tab w:val="left" w:pos="567"/>
        </w:tabs>
        <w:spacing w:before="80"/>
        <w:ind w:left="0" w:firstLine="567"/>
        <w:jc w:val="both"/>
        <w:rPr>
          <w:color w:val="000000" w:themeColor="text1"/>
          <w:sz w:val="22"/>
          <w:szCs w:val="22"/>
          <w:lang w:val="ro-MD"/>
        </w:rPr>
      </w:pPr>
      <w:r>
        <w:rPr>
          <w:color w:val="000000" w:themeColor="text1"/>
          <w:sz w:val="22"/>
          <w:szCs w:val="22"/>
          <w:lang w:val="ru-RU"/>
        </w:rPr>
        <w:t>В формуле гармонизации постановления</w:t>
      </w:r>
      <w:r w:rsidR="00275B40" w:rsidRPr="00884D1F">
        <w:rPr>
          <w:color w:val="000000" w:themeColor="text1"/>
          <w:sz w:val="22"/>
          <w:szCs w:val="22"/>
          <w:lang w:val="ro-MD"/>
        </w:rPr>
        <w:t>:</w:t>
      </w:r>
    </w:p>
    <w:p w14:paraId="569B0470" w14:textId="246DAF2A" w:rsidR="00275B40" w:rsidRPr="00976A80" w:rsidRDefault="00C200BE" w:rsidP="00DE34A8">
      <w:pPr>
        <w:pStyle w:val="ListParagraph"/>
        <w:numPr>
          <w:ilvl w:val="2"/>
          <w:numId w:val="27"/>
        </w:numPr>
        <w:tabs>
          <w:tab w:val="left" w:pos="567"/>
        </w:tabs>
        <w:spacing w:before="80"/>
        <w:ind w:left="0" w:firstLine="567"/>
        <w:jc w:val="both"/>
        <w:rPr>
          <w:color w:val="000000" w:themeColor="text1"/>
          <w:sz w:val="22"/>
          <w:szCs w:val="22"/>
          <w:lang w:val="ru-RU"/>
        </w:rPr>
      </w:pPr>
      <w:r w:rsidRPr="00976A80">
        <w:rPr>
          <w:color w:val="000000" w:themeColor="text1"/>
          <w:sz w:val="22"/>
          <w:szCs w:val="22"/>
          <w:lang w:val="ru-RU"/>
        </w:rPr>
        <w:t>текст «</w:t>
      </w:r>
      <w:r w:rsidRPr="00976A80">
        <w:rPr>
          <w:sz w:val="22"/>
          <w:szCs w:val="22"/>
          <w:lang w:val="ru-RU" w:eastAsia="ro-MD"/>
        </w:rPr>
        <w:t xml:space="preserve">Закона о Национальном банке Молдовы № 548-XIII от 21 июля 1995» заменить текстом «Закона № </w:t>
      </w:r>
      <w:r w:rsidR="00B822F7" w:rsidRPr="00976A80">
        <w:rPr>
          <w:color w:val="000000" w:themeColor="text1"/>
          <w:sz w:val="22"/>
          <w:szCs w:val="22"/>
          <w:lang w:val="ru-RU"/>
        </w:rPr>
        <w:t>548/1995</w:t>
      </w:r>
      <w:r w:rsidRPr="00976A80">
        <w:rPr>
          <w:color w:val="000000" w:themeColor="text1"/>
          <w:sz w:val="22"/>
          <w:szCs w:val="22"/>
          <w:lang w:val="ru-RU"/>
        </w:rPr>
        <w:t>»</w:t>
      </w:r>
      <w:r w:rsidR="00274FFD" w:rsidRPr="00976A80">
        <w:rPr>
          <w:color w:val="000000" w:themeColor="text1"/>
          <w:sz w:val="22"/>
          <w:szCs w:val="22"/>
          <w:lang w:val="ru-RU"/>
        </w:rPr>
        <w:t>,</w:t>
      </w:r>
      <w:r w:rsidRPr="00976A80">
        <w:rPr>
          <w:color w:val="000000" w:themeColor="text1"/>
          <w:sz w:val="22"/>
          <w:szCs w:val="22"/>
          <w:lang w:val="ru-RU"/>
        </w:rPr>
        <w:t xml:space="preserve"> а слова </w:t>
      </w:r>
      <w:r w:rsidR="00976A80" w:rsidRPr="00976A80">
        <w:rPr>
          <w:color w:val="000000" w:themeColor="text1"/>
          <w:sz w:val="22"/>
          <w:szCs w:val="22"/>
          <w:lang w:val="ru-RU"/>
        </w:rPr>
        <w:t>«и дополнениями» исключить</w:t>
      </w:r>
      <w:r w:rsidR="00275B40" w:rsidRPr="00976A80">
        <w:rPr>
          <w:color w:val="000000" w:themeColor="text1"/>
          <w:sz w:val="22"/>
          <w:szCs w:val="22"/>
          <w:lang w:val="ru-RU"/>
        </w:rPr>
        <w:t>;</w:t>
      </w:r>
    </w:p>
    <w:p w14:paraId="276CCD2C" w14:textId="3038FDE8" w:rsidR="005A2ADB" w:rsidRPr="00865DBA" w:rsidRDefault="005C35B0" w:rsidP="00DE34A8">
      <w:pPr>
        <w:pStyle w:val="ListParagraph"/>
        <w:numPr>
          <w:ilvl w:val="2"/>
          <w:numId w:val="27"/>
        </w:numPr>
        <w:tabs>
          <w:tab w:val="left" w:pos="567"/>
        </w:tabs>
        <w:spacing w:before="80"/>
        <w:ind w:left="0" w:firstLine="567"/>
        <w:jc w:val="both"/>
        <w:rPr>
          <w:color w:val="000000" w:themeColor="text1"/>
          <w:sz w:val="22"/>
          <w:szCs w:val="22"/>
          <w:lang w:val="ro-MD"/>
        </w:rPr>
      </w:pPr>
      <w:r w:rsidRPr="00865DBA">
        <w:rPr>
          <w:color w:val="000000" w:themeColor="text1"/>
          <w:sz w:val="22"/>
          <w:szCs w:val="22"/>
          <w:lang w:val="ru-RU"/>
        </w:rPr>
        <w:t>текст «</w:t>
      </w:r>
      <w:r w:rsidR="00D66807" w:rsidRPr="00865DBA">
        <w:rPr>
          <w:sz w:val="22"/>
          <w:szCs w:val="22"/>
          <w:lang w:val="ru-RU" w:eastAsia="ro-MD"/>
        </w:rPr>
        <w:t xml:space="preserve">Закона о деятельности банков № 202 от 6 октября 2017 г.» заменить текстом «Закона № </w:t>
      </w:r>
      <w:r w:rsidR="00B822F7" w:rsidRPr="00865DBA">
        <w:rPr>
          <w:color w:val="000000" w:themeColor="text1"/>
          <w:sz w:val="22"/>
          <w:szCs w:val="22"/>
          <w:lang w:val="ro-MD"/>
        </w:rPr>
        <w:t>202/2017</w:t>
      </w:r>
      <w:r w:rsidR="00865DBA" w:rsidRPr="00865DBA">
        <w:rPr>
          <w:color w:val="000000" w:themeColor="text1"/>
          <w:sz w:val="22"/>
          <w:szCs w:val="22"/>
          <w:lang w:val="ru-RU"/>
        </w:rPr>
        <w:t>»</w:t>
      </w:r>
      <w:r w:rsidR="00B822F7" w:rsidRPr="00865DBA">
        <w:rPr>
          <w:color w:val="000000" w:themeColor="text1"/>
          <w:sz w:val="22"/>
          <w:szCs w:val="22"/>
          <w:lang w:val="ro-MD"/>
        </w:rPr>
        <w:t>,</w:t>
      </w:r>
      <w:r w:rsidR="00865DBA" w:rsidRPr="00865DBA">
        <w:rPr>
          <w:color w:val="000000" w:themeColor="text1"/>
          <w:sz w:val="22"/>
          <w:szCs w:val="22"/>
          <w:lang w:val="ru-RU"/>
        </w:rPr>
        <w:t xml:space="preserve"> а слова «дополнениями» исключить</w:t>
      </w:r>
      <w:r w:rsidR="005C6B87" w:rsidRPr="00865DBA">
        <w:rPr>
          <w:color w:val="000000" w:themeColor="text1"/>
          <w:sz w:val="22"/>
          <w:szCs w:val="22"/>
          <w:lang w:val="ro-MD"/>
        </w:rPr>
        <w:t>.</w:t>
      </w:r>
      <w:r w:rsidR="005A2ADB" w:rsidRPr="00865DBA">
        <w:rPr>
          <w:color w:val="000000" w:themeColor="text1"/>
          <w:sz w:val="22"/>
          <w:szCs w:val="22"/>
          <w:lang w:val="ro-MD"/>
        </w:rPr>
        <w:t xml:space="preserve"> </w:t>
      </w:r>
    </w:p>
    <w:p w14:paraId="4F32DB46" w14:textId="00334959" w:rsidR="00DA2B2E" w:rsidRPr="007146C9" w:rsidRDefault="00F32251" w:rsidP="00F9793E">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7146C9">
        <w:rPr>
          <w:color w:val="000000" w:themeColor="text1"/>
          <w:sz w:val="22"/>
          <w:szCs w:val="22"/>
          <w:lang w:val="ru-RU"/>
        </w:rPr>
        <w:t>Формулу гармонизации изложить в следующей редакции</w:t>
      </w:r>
      <w:r w:rsidR="00F9793E" w:rsidRPr="007146C9">
        <w:rPr>
          <w:color w:val="000000" w:themeColor="text1"/>
          <w:sz w:val="22"/>
          <w:szCs w:val="22"/>
          <w:lang w:val="ru-RU"/>
        </w:rPr>
        <w:t>:</w:t>
      </w:r>
    </w:p>
    <w:p w14:paraId="6E973687" w14:textId="4BF2F29F" w:rsidR="00F9793E" w:rsidRPr="00884D1F" w:rsidRDefault="00562EAD" w:rsidP="00E30DC8">
      <w:pPr>
        <w:tabs>
          <w:tab w:val="left" w:pos="567"/>
        </w:tabs>
        <w:jc w:val="both"/>
        <w:rPr>
          <w:color w:val="000000" w:themeColor="text1"/>
          <w:sz w:val="22"/>
          <w:szCs w:val="22"/>
          <w:lang w:val="ro-MD"/>
        </w:rPr>
      </w:pPr>
      <w:r w:rsidRPr="007146C9">
        <w:rPr>
          <w:color w:val="000000" w:themeColor="text1"/>
          <w:sz w:val="22"/>
          <w:szCs w:val="22"/>
          <w:lang w:val="ru-RU"/>
        </w:rPr>
        <w:t>«Настоящий регламент перекладывает ст</w:t>
      </w:r>
      <w:r w:rsidR="00B95B53" w:rsidRPr="007146C9">
        <w:rPr>
          <w:color w:val="000000" w:themeColor="text1"/>
          <w:sz w:val="22"/>
          <w:szCs w:val="22"/>
          <w:lang w:val="ru-RU" w:eastAsia="ro-MD"/>
        </w:rPr>
        <w:t>.4</w:t>
      </w:r>
      <w:r w:rsidR="00324CCC" w:rsidRPr="007146C9">
        <w:rPr>
          <w:color w:val="000000" w:themeColor="text1"/>
          <w:sz w:val="22"/>
          <w:szCs w:val="22"/>
          <w:lang w:val="ru-RU" w:eastAsia="ro-MD"/>
        </w:rPr>
        <w:t xml:space="preserve"> </w:t>
      </w:r>
      <w:r w:rsidRPr="007146C9">
        <w:rPr>
          <w:color w:val="000000" w:themeColor="text1"/>
          <w:sz w:val="22"/>
          <w:szCs w:val="22"/>
          <w:lang w:val="ru-RU" w:eastAsia="ro-MD"/>
        </w:rPr>
        <w:t>часть</w:t>
      </w:r>
      <w:r w:rsidR="00324CCC" w:rsidRPr="007146C9">
        <w:rPr>
          <w:color w:val="000000" w:themeColor="text1"/>
          <w:sz w:val="22"/>
          <w:szCs w:val="22"/>
          <w:lang w:val="ru-RU" w:eastAsia="ro-MD"/>
        </w:rPr>
        <w:t xml:space="preserve"> </w:t>
      </w:r>
      <w:r w:rsidR="00B95B53" w:rsidRPr="007146C9">
        <w:rPr>
          <w:color w:val="000000" w:themeColor="text1"/>
          <w:sz w:val="22"/>
          <w:szCs w:val="22"/>
          <w:lang w:val="ru-RU" w:eastAsia="ro-MD"/>
        </w:rPr>
        <w:t xml:space="preserve">(1) </w:t>
      </w:r>
      <w:r w:rsidRPr="007146C9">
        <w:rPr>
          <w:color w:val="000000" w:themeColor="text1"/>
          <w:sz w:val="22"/>
          <w:szCs w:val="22"/>
          <w:lang w:val="ru-RU" w:eastAsia="ro-MD"/>
        </w:rPr>
        <w:t>п</w:t>
      </w:r>
      <w:r w:rsidR="00B95B53" w:rsidRPr="007146C9">
        <w:rPr>
          <w:color w:val="000000" w:themeColor="text1"/>
          <w:sz w:val="22"/>
          <w:szCs w:val="22"/>
          <w:lang w:val="ru-RU" w:eastAsia="ro-MD"/>
        </w:rPr>
        <w:t>.</w:t>
      </w:r>
      <w:r w:rsidR="00324CCC" w:rsidRPr="007146C9">
        <w:rPr>
          <w:color w:val="000000" w:themeColor="text1"/>
          <w:sz w:val="22"/>
          <w:szCs w:val="22"/>
          <w:lang w:val="ru-RU" w:eastAsia="ro-MD"/>
        </w:rPr>
        <w:t xml:space="preserve"> </w:t>
      </w:r>
      <w:r w:rsidR="00CB4CA5" w:rsidRPr="007146C9">
        <w:rPr>
          <w:color w:val="000000" w:themeColor="text1"/>
          <w:sz w:val="22"/>
          <w:szCs w:val="22"/>
          <w:lang w:val="ru-RU" w:eastAsia="ro-MD"/>
        </w:rPr>
        <w:t>57</w:t>
      </w:r>
      <w:r w:rsidR="00F71B95" w:rsidRPr="007146C9">
        <w:rPr>
          <w:color w:val="000000" w:themeColor="text1"/>
          <w:sz w:val="22"/>
          <w:szCs w:val="22"/>
          <w:lang w:val="ru-RU" w:eastAsia="ro-MD"/>
        </w:rPr>
        <w:t>-60a</w:t>
      </w:r>
      <w:r w:rsidR="00CB4CA5" w:rsidRPr="007146C9">
        <w:rPr>
          <w:color w:val="000000" w:themeColor="text1"/>
          <w:sz w:val="22"/>
          <w:szCs w:val="22"/>
          <w:lang w:val="ru-RU" w:eastAsia="ro-MD"/>
        </w:rPr>
        <w:t xml:space="preserve">, </w:t>
      </w:r>
      <w:r w:rsidR="00B95B53" w:rsidRPr="007146C9">
        <w:rPr>
          <w:color w:val="000000" w:themeColor="text1"/>
          <w:sz w:val="22"/>
          <w:szCs w:val="22"/>
          <w:lang w:val="ru-RU" w:eastAsia="ro-MD"/>
        </w:rPr>
        <w:t xml:space="preserve">74a, </w:t>
      </w:r>
      <w:r w:rsidR="00F9793E" w:rsidRPr="007146C9">
        <w:rPr>
          <w:color w:val="000000" w:themeColor="text1"/>
          <w:sz w:val="22"/>
          <w:szCs w:val="22"/>
          <w:lang w:val="ru-RU"/>
        </w:rPr>
        <w:t xml:space="preserve"> </w:t>
      </w:r>
      <w:r w:rsidR="00235BF9" w:rsidRPr="007146C9">
        <w:rPr>
          <w:color w:val="000000" w:themeColor="text1"/>
          <w:sz w:val="22"/>
          <w:szCs w:val="22"/>
          <w:lang w:val="ru-RU"/>
        </w:rPr>
        <w:t xml:space="preserve">82, 83, 111; </w:t>
      </w:r>
      <w:r w:rsidRPr="007146C9">
        <w:rPr>
          <w:color w:val="000000" w:themeColor="text1"/>
          <w:sz w:val="22"/>
          <w:szCs w:val="22"/>
          <w:lang w:val="ru-RU"/>
        </w:rPr>
        <w:t>ст</w:t>
      </w:r>
      <w:r w:rsidR="00F9793E" w:rsidRPr="007146C9">
        <w:rPr>
          <w:color w:val="000000" w:themeColor="text1"/>
          <w:sz w:val="22"/>
          <w:szCs w:val="22"/>
          <w:lang w:val="ru-RU"/>
        </w:rPr>
        <w:t>.</w:t>
      </w:r>
      <w:r w:rsidR="00390BFE" w:rsidRPr="007146C9">
        <w:rPr>
          <w:color w:val="000000" w:themeColor="text1"/>
          <w:sz w:val="22"/>
          <w:szCs w:val="22"/>
          <w:lang w:val="ru-RU"/>
        </w:rPr>
        <w:t>192-207</w:t>
      </w:r>
      <w:r w:rsidR="007223B7" w:rsidRPr="007146C9">
        <w:rPr>
          <w:color w:val="000000" w:themeColor="text1"/>
          <w:sz w:val="22"/>
          <w:szCs w:val="22"/>
          <w:lang w:val="ru-RU"/>
        </w:rPr>
        <w:t xml:space="preserve"> </w:t>
      </w:r>
      <w:r w:rsidRPr="007146C9">
        <w:rPr>
          <w:color w:val="000000" w:themeColor="text1"/>
          <w:sz w:val="22"/>
          <w:szCs w:val="22"/>
          <w:lang w:val="ru-RU"/>
        </w:rPr>
        <w:t>и</w:t>
      </w:r>
      <w:r w:rsidR="007223B7" w:rsidRPr="007146C9">
        <w:rPr>
          <w:color w:val="000000" w:themeColor="text1"/>
          <w:sz w:val="22"/>
          <w:szCs w:val="22"/>
          <w:lang w:val="ru-RU"/>
        </w:rPr>
        <w:t xml:space="preserve"> </w:t>
      </w:r>
      <w:r w:rsidRPr="007146C9">
        <w:rPr>
          <w:color w:val="000000" w:themeColor="text1"/>
          <w:sz w:val="22"/>
          <w:szCs w:val="22"/>
          <w:lang w:val="ru-RU"/>
        </w:rPr>
        <w:t>ст</w:t>
      </w:r>
      <w:r w:rsidR="007223B7" w:rsidRPr="007146C9">
        <w:rPr>
          <w:color w:val="000000" w:themeColor="text1"/>
          <w:sz w:val="22"/>
          <w:szCs w:val="22"/>
          <w:lang w:val="ru-RU"/>
        </w:rPr>
        <w:t>.</w:t>
      </w:r>
      <w:r w:rsidR="00390BFE" w:rsidRPr="007146C9">
        <w:rPr>
          <w:color w:val="000000" w:themeColor="text1"/>
          <w:sz w:val="22"/>
          <w:szCs w:val="22"/>
          <w:lang w:val="ru-RU"/>
        </w:rPr>
        <w:t>209-2</w:t>
      </w:r>
      <w:r w:rsidR="00B46BFC" w:rsidRPr="007146C9">
        <w:rPr>
          <w:color w:val="000000" w:themeColor="text1"/>
          <w:sz w:val="22"/>
          <w:szCs w:val="22"/>
          <w:lang w:val="ru-RU"/>
        </w:rPr>
        <w:t>39</w:t>
      </w:r>
      <w:r w:rsidR="00390BFE" w:rsidRPr="007146C9">
        <w:rPr>
          <w:color w:val="000000" w:themeColor="text1"/>
          <w:sz w:val="22"/>
          <w:szCs w:val="22"/>
          <w:lang w:val="ru-RU"/>
        </w:rPr>
        <w:t xml:space="preserve"> </w:t>
      </w:r>
      <w:r w:rsidR="00881916" w:rsidRPr="007146C9">
        <w:rPr>
          <w:color w:val="000000" w:themeColor="text1"/>
          <w:sz w:val="22"/>
          <w:szCs w:val="22"/>
          <w:lang w:val="ru-RU"/>
        </w:rPr>
        <w:t>Регламента №</w:t>
      </w:r>
      <w:r w:rsidR="00F9793E" w:rsidRPr="007146C9">
        <w:rPr>
          <w:color w:val="000000" w:themeColor="text1"/>
          <w:sz w:val="22"/>
          <w:szCs w:val="22"/>
          <w:lang w:val="ru-RU"/>
        </w:rPr>
        <w:t xml:space="preserve"> 575/2013</w:t>
      </w:r>
      <w:r w:rsidR="00881916" w:rsidRPr="007146C9">
        <w:rPr>
          <w:b/>
          <w:bCs/>
          <w:color w:val="000000" w:themeColor="text1"/>
          <w:sz w:val="22"/>
          <w:szCs w:val="22"/>
          <w:lang w:val="ru-RU"/>
        </w:rPr>
        <w:t xml:space="preserve"> </w:t>
      </w:r>
      <w:r w:rsidR="007146C9" w:rsidRPr="007146C9">
        <w:rPr>
          <w:color w:val="000000" w:themeColor="text1"/>
          <w:sz w:val="22"/>
          <w:szCs w:val="22"/>
          <w:lang w:val="ru-RU"/>
        </w:rPr>
        <w:t>Европейского парламента и совета</w:t>
      </w:r>
      <w:r w:rsidR="007146C9" w:rsidRPr="007146C9">
        <w:rPr>
          <w:b/>
          <w:bCs/>
          <w:color w:val="000000" w:themeColor="text1"/>
          <w:sz w:val="22"/>
          <w:szCs w:val="22"/>
          <w:lang w:val="ru-RU"/>
        </w:rPr>
        <w:t xml:space="preserve"> </w:t>
      </w:r>
      <w:r w:rsidR="00881916" w:rsidRPr="007146C9">
        <w:rPr>
          <w:sz w:val="22"/>
          <w:szCs w:val="22"/>
          <w:lang w:val="ru-RU" w:eastAsia="ro-MD"/>
        </w:rPr>
        <w:t>от 26 июня 2013 года о пруденциальных требованиях к кредитным организациям и инвестиционным обществам и о внесении изменений в Регламент (ЕС) № 648/2012, опубликованного в Официальном журнале Европейского Союза L 176 от</w:t>
      </w:r>
      <w:r w:rsidR="00881916" w:rsidRPr="00BF38F1">
        <w:rPr>
          <w:sz w:val="22"/>
          <w:szCs w:val="22"/>
          <w:lang w:val="ru-RU" w:eastAsia="ro-MD"/>
        </w:rPr>
        <w:t xml:space="preserve"> 27 июня 2013 года, CELEX: 32013R0575, с последними изменениями, внесенными Регламентом (ЕС) 2025/1215 Европейского парламента и Совета от 17 июня 2025 года</w:t>
      </w:r>
      <w:r w:rsidR="00F9793E" w:rsidRPr="00884D1F">
        <w:rPr>
          <w:color w:val="000000" w:themeColor="text1"/>
          <w:sz w:val="22"/>
          <w:szCs w:val="22"/>
          <w:lang w:val="ro-MD"/>
        </w:rPr>
        <w:t>.</w:t>
      </w:r>
      <w:r w:rsidR="007146C9">
        <w:rPr>
          <w:color w:val="000000" w:themeColor="text1"/>
          <w:sz w:val="22"/>
          <w:szCs w:val="22"/>
          <w:lang w:val="ru-RU"/>
        </w:rPr>
        <w:t>»</w:t>
      </w:r>
      <w:r w:rsidR="005C6B87" w:rsidRPr="00884D1F">
        <w:rPr>
          <w:color w:val="000000" w:themeColor="text1"/>
          <w:sz w:val="22"/>
          <w:szCs w:val="22"/>
          <w:lang w:val="ro-MD"/>
        </w:rPr>
        <w:t>.</w:t>
      </w:r>
    </w:p>
    <w:p w14:paraId="3E3ABEB6" w14:textId="302A7757" w:rsidR="00C57CEE" w:rsidRPr="00884D1F" w:rsidRDefault="005C35B0" w:rsidP="00313633">
      <w:pPr>
        <w:pStyle w:val="ListParagraph"/>
        <w:numPr>
          <w:ilvl w:val="1"/>
          <w:numId w:val="27"/>
        </w:numPr>
        <w:tabs>
          <w:tab w:val="left" w:pos="567"/>
        </w:tabs>
        <w:spacing w:before="80"/>
        <w:ind w:left="0" w:firstLine="567"/>
        <w:jc w:val="both"/>
        <w:rPr>
          <w:color w:val="000000" w:themeColor="text1"/>
          <w:sz w:val="22"/>
          <w:szCs w:val="22"/>
          <w:lang w:val="ro-MD"/>
        </w:rPr>
      </w:pPr>
      <w:r>
        <w:rPr>
          <w:color w:val="000000" w:themeColor="text1"/>
          <w:sz w:val="22"/>
          <w:szCs w:val="22"/>
          <w:lang w:val="ru-RU"/>
        </w:rPr>
        <w:t>В пункте</w:t>
      </w:r>
      <w:r w:rsidR="001F6D7C" w:rsidRPr="00884D1F">
        <w:rPr>
          <w:color w:val="000000" w:themeColor="text1"/>
          <w:sz w:val="22"/>
          <w:szCs w:val="22"/>
          <w:lang w:val="ro-MD"/>
        </w:rPr>
        <w:t xml:space="preserve"> 3</w:t>
      </w:r>
      <w:r w:rsidR="00C57CEE" w:rsidRPr="00884D1F">
        <w:rPr>
          <w:color w:val="000000" w:themeColor="text1"/>
          <w:sz w:val="22"/>
          <w:szCs w:val="22"/>
          <w:lang w:val="ro-MD"/>
        </w:rPr>
        <w:t>:</w:t>
      </w:r>
    </w:p>
    <w:p w14:paraId="7B7C42DA" w14:textId="6F384448" w:rsidR="00C57CEE" w:rsidRPr="00A53D1F" w:rsidRDefault="00976A80" w:rsidP="00C57CEE">
      <w:pPr>
        <w:pStyle w:val="ListParagraph"/>
        <w:numPr>
          <w:ilvl w:val="2"/>
          <w:numId w:val="27"/>
        </w:numPr>
        <w:tabs>
          <w:tab w:val="left" w:pos="567"/>
        </w:tabs>
        <w:spacing w:before="80"/>
        <w:ind w:left="0" w:firstLine="567"/>
        <w:jc w:val="both"/>
        <w:rPr>
          <w:color w:val="000000" w:themeColor="text1"/>
          <w:sz w:val="22"/>
          <w:szCs w:val="22"/>
          <w:lang w:val="ru-RU"/>
        </w:rPr>
      </w:pPr>
      <w:r w:rsidRPr="00A53D1F">
        <w:rPr>
          <w:color w:val="000000" w:themeColor="text1"/>
          <w:sz w:val="22"/>
          <w:szCs w:val="22"/>
          <w:lang w:val="ru-RU"/>
        </w:rPr>
        <w:t>текст «</w:t>
      </w:r>
      <w:r w:rsidRPr="00A53D1F">
        <w:rPr>
          <w:sz w:val="22"/>
          <w:szCs w:val="22"/>
          <w:lang w:val="ru-RU" w:eastAsia="ro-MD"/>
        </w:rPr>
        <w:t>Закона о деятельности банков № 202 от 6 октября 2017 г.</w:t>
      </w:r>
      <w:r w:rsidR="00BA47AA" w:rsidRPr="00A53D1F">
        <w:rPr>
          <w:sz w:val="22"/>
          <w:szCs w:val="22"/>
          <w:lang w:val="ru-RU" w:eastAsia="ro-MD"/>
        </w:rPr>
        <w:t xml:space="preserve"> (Официальный монитор Республики Молдова, 2017, № 434-439, статья 727)» заменить текстом «Закона </w:t>
      </w:r>
      <w:r w:rsidR="00C57CEE" w:rsidRPr="00A53D1F">
        <w:rPr>
          <w:color w:val="000000" w:themeColor="text1"/>
          <w:sz w:val="22"/>
          <w:szCs w:val="22"/>
          <w:lang w:val="ru-RU"/>
        </w:rPr>
        <w:t xml:space="preserve"> </w:t>
      </w:r>
      <w:r w:rsidR="00BA47AA" w:rsidRPr="00A53D1F">
        <w:rPr>
          <w:sz w:val="22"/>
          <w:szCs w:val="22"/>
          <w:lang w:val="ru-RU" w:eastAsia="ro-MD"/>
        </w:rPr>
        <w:t xml:space="preserve">о деятельности банков № 202/2017 </w:t>
      </w:r>
      <w:r w:rsidR="00C57CEE" w:rsidRPr="00A53D1F">
        <w:rPr>
          <w:color w:val="000000" w:themeColor="text1"/>
          <w:sz w:val="22"/>
          <w:szCs w:val="22"/>
          <w:lang w:val="ru-RU"/>
        </w:rPr>
        <w:t>(</w:t>
      </w:r>
      <w:r w:rsidR="00BA47AA" w:rsidRPr="00A53D1F">
        <w:rPr>
          <w:color w:val="000000" w:themeColor="text1"/>
          <w:sz w:val="22"/>
          <w:szCs w:val="22"/>
          <w:lang w:val="ru-RU"/>
        </w:rPr>
        <w:t>далее</w:t>
      </w:r>
      <w:r w:rsidR="00C57CEE" w:rsidRPr="00A53D1F">
        <w:rPr>
          <w:color w:val="000000" w:themeColor="text1"/>
          <w:sz w:val="22"/>
          <w:szCs w:val="22"/>
          <w:lang w:val="ru-RU"/>
        </w:rPr>
        <w:t xml:space="preserve"> – </w:t>
      </w:r>
      <w:r w:rsidR="00BA47AA" w:rsidRPr="00A53D1F">
        <w:rPr>
          <w:color w:val="000000" w:themeColor="text1"/>
          <w:sz w:val="22"/>
          <w:szCs w:val="22"/>
          <w:lang w:val="ru-RU"/>
        </w:rPr>
        <w:t xml:space="preserve">Закон № </w:t>
      </w:r>
      <w:r w:rsidR="00C57CEE" w:rsidRPr="00A53D1F">
        <w:rPr>
          <w:color w:val="000000" w:themeColor="text1"/>
          <w:sz w:val="22"/>
          <w:szCs w:val="22"/>
          <w:lang w:val="ru-RU"/>
        </w:rPr>
        <w:t>202/2017);</w:t>
      </w:r>
    </w:p>
    <w:p w14:paraId="4295F1D0" w14:textId="2BB6B537" w:rsidR="00974E10" w:rsidRPr="005128EC" w:rsidRDefault="00313633" w:rsidP="00C57CEE">
      <w:pPr>
        <w:pStyle w:val="ListParagraph"/>
        <w:numPr>
          <w:ilvl w:val="2"/>
          <w:numId w:val="27"/>
        </w:numPr>
        <w:tabs>
          <w:tab w:val="left" w:pos="426"/>
        </w:tabs>
        <w:spacing w:before="80"/>
        <w:ind w:left="0" w:firstLine="567"/>
        <w:jc w:val="both"/>
        <w:rPr>
          <w:color w:val="000000" w:themeColor="text1"/>
          <w:sz w:val="22"/>
          <w:szCs w:val="22"/>
          <w:lang w:val="ru-RU"/>
        </w:rPr>
      </w:pPr>
      <w:r w:rsidRPr="00884D1F">
        <w:rPr>
          <w:color w:val="000000" w:themeColor="text1"/>
          <w:sz w:val="22"/>
          <w:szCs w:val="22"/>
          <w:lang w:val="ro-MD"/>
        </w:rPr>
        <w:lastRenderedPageBreak/>
        <w:t xml:space="preserve"> </w:t>
      </w:r>
      <w:r w:rsidR="005128EC" w:rsidRPr="005128EC">
        <w:rPr>
          <w:color w:val="000000" w:themeColor="text1"/>
          <w:sz w:val="22"/>
          <w:szCs w:val="22"/>
          <w:lang w:val="ru-RU"/>
        </w:rPr>
        <w:t xml:space="preserve">в алфавитном порядке дополняется терминами «подход, заключающийся в замене параметров риска на основе </w:t>
      </w:r>
      <w:r w:rsidR="00506DB8" w:rsidRPr="00506DB8">
        <w:rPr>
          <w:color w:val="000000" w:themeColor="text1"/>
          <w:sz w:val="22"/>
          <w:szCs w:val="22"/>
          <w:lang w:val="ru-RU"/>
        </w:rPr>
        <w:t xml:space="preserve">усовершенствованного подхода, основанного на внутренних рейтинговых моделях </w:t>
      </w:r>
      <w:r w:rsidR="00506DB8" w:rsidRPr="007544BA">
        <w:rPr>
          <w:color w:val="000000" w:themeColor="text1"/>
          <w:sz w:val="22"/>
          <w:szCs w:val="22"/>
          <w:lang w:val="ru-RU"/>
        </w:rPr>
        <w:t>(</w:t>
      </w:r>
      <w:r w:rsidR="005128EC" w:rsidRPr="005128EC">
        <w:rPr>
          <w:color w:val="000000" w:themeColor="text1"/>
          <w:sz w:val="22"/>
          <w:szCs w:val="22"/>
          <w:lang w:val="ru-RU"/>
        </w:rPr>
        <w:t>A-IRB</w:t>
      </w:r>
      <w:r w:rsidR="00506DB8" w:rsidRPr="007544BA">
        <w:rPr>
          <w:color w:val="000000" w:themeColor="text1"/>
          <w:sz w:val="22"/>
          <w:szCs w:val="22"/>
          <w:lang w:val="ru-RU"/>
        </w:rPr>
        <w:t>)</w:t>
      </w:r>
      <w:r w:rsidR="005128EC" w:rsidRPr="005128EC">
        <w:rPr>
          <w:color w:val="000000" w:themeColor="text1"/>
          <w:sz w:val="22"/>
          <w:szCs w:val="22"/>
          <w:lang w:val="ru-RU"/>
        </w:rPr>
        <w:t>», «физическое золото», «кредитная позиция, обеспеченная жилой недвижимостью», «кредитная позиция, обеспеченная коммерческой недвижимостью», «кредитная позиция, обеспеченная недвижимостью» «стоимость недвижимости</w:t>
      </w:r>
      <w:r w:rsidR="003B6557" w:rsidRPr="005128EC">
        <w:rPr>
          <w:color w:val="000000" w:themeColor="text1"/>
          <w:sz w:val="22"/>
          <w:szCs w:val="22"/>
          <w:lang w:val="ru-RU"/>
        </w:rPr>
        <w:t>», со</w:t>
      </w:r>
      <w:r w:rsidR="005128EC" w:rsidRPr="005128EC">
        <w:rPr>
          <w:color w:val="000000" w:themeColor="text1"/>
          <w:sz w:val="22"/>
          <w:szCs w:val="22"/>
          <w:lang w:val="ru-RU"/>
        </w:rPr>
        <w:t xml:space="preserve"> следующим содержанием</w:t>
      </w:r>
      <w:r w:rsidR="00974E10" w:rsidRPr="005128EC">
        <w:rPr>
          <w:color w:val="000000" w:themeColor="text1"/>
          <w:sz w:val="22"/>
          <w:szCs w:val="22"/>
          <w:lang w:val="ru-RU"/>
        </w:rPr>
        <w:t>:</w:t>
      </w:r>
    </w:p>
    <w:p w14:paraId="09292A9C" w14:textId="75105E34" w:rsidR="00CE216B" w:rsidRPr="00CE216B" w:rsidRDefault="00CE216B" w:rsidP="00CE216B">
      <w:pPr>
        <w:tabs>
          <w:tab w:val="left" w:pos="426"/>
        </w:tabs>
        <w:jc w:val="both"/>
        <w:rPr>
          <w:color w:val="000000" w:themeColor="text1"/>
          <w:sz w:val="22"/>
          <w:szCs w:val="22"/>
          <w:lang w:val="ru-RU"/>
        </w:rPr>
      </w:pPr>
      <w:r w:rsidRPr="002668AD">
        <w:rPr>
          <w:i/>
          <w:iCs/>
          <w:color w:val="000000" w:themeColor="text1"/>
          <w:sz w:val="22"/>
          <w:szCs w:val="22"/>
          <w:lang w:val="ru-RU"/>
        </w:rPr>
        <w:t xml:space="preserve">«подход, заключающийся в замене параметров риска на основе </w:t>
      </w:r>
      <w:r w:rsidR="00506DB8" w:rsidRPr="00506DB8">
        <w:rPr>
          <w:i/>
          <w:iCs/>
          <w:color w:val="000000" w:themeColor="text1"/>
          <w:sz w:val="22"/>
          <w:szCs w:val="22"/>
          <w:lang w:val="ru-RU"/>
        </w:rPr>
        <w:t xml:space="preserve">усовершенствованного подхода, основанного на внутренних рейтинговых моделях </w:t>
      </w:r>
      <w:r w:rsidR="00506DB8" w:rsidRPr="007544BA">
        <w:rPr>
          <w:i/>
          <w:iCs/>
          <w:color w:val="000000" w:themeColor="text1"/>
          <w:sz w:val="22"/>
          <w:szCs w:val="22"/>
          <w:lang w:val="ru-RU"/>
        </w:rPr>
        <w:t>(</w:t>
      </w:r>
      <w:r w:rsidRPr="002668AD">
        <w:rPr>
          <w:i/>
          <w:iCs/>
          <w:color w:val="000000" w:themeColor="text1"/>
          <w:sz w:val="22"/>
          <w:szCs w:val="22"/>
          <w:lang w:val="ru-RU"/>
        </w:rPr>
        <w:t>A-IRB</w:t>
      </w:r>
      <w:r w:rsidR="00506DB8" w:rsidRPr="007544BA">
        <w:rPr>
          <w:i/>
          <w:iCs/>
          <w:color w:val="000000" w:themeColor="text1"/>
          <w:sz w:val="22"/>
          <w:szCs w:val="22"/>
          <w:lang w:val="ru-RU"/>
        </w:rPr>
        <w:t>)</w:t>
      </w:r>
      <w:r w:rsidRPr="00CE216B">
        <w:rPr>
          <w:color w:val="000000" w:themeColor="text1"/>
          <w:sz w:val="22"/>
          <w:szCs w:val="22"/>
          <w:lang w:val="ru-RU"/>
        </w:rPr>
        <w:t xml:space="preserve"> — замена, в соответствии с пунктами 116</w:t>
      </w:r>
      <w:r w:rsidR="001468BC">
        <w:rPr>
          <w:color w:val="000000" w:themeColor="text1"/>
          <w:sz w:val="22"/>
          <w:szCs w:val="22"/>
          <w:vertAlign w:val="superscript"/>
          <w:lang w:val="ru-RU"/>
        </w:rPr>
        <w:t>13</w:t>
      </w:r>
      <w:r w:rsidRPr="00CE216B">
        <w:rPr>
          <w:color w:val="000000" w:themeColor="text1"/>
          <w:sz w:val="22"/>
          <w:szCs w:val="22"/>
          <w:lang w:val="ru-RU"/>
        </w:rPr>
        <w:t>–116</w:t>
      </w:r>
      <w:r w:rsidR="001468BC">
        <w:rPr>
          <w:color w:val="000000" w:themeColor="text1"/>
          <w:sz w:val="22"/>
          <w:szCs w:val="22"/>
          <w:vertAlign w:val="superscript"/>
          <w:lang w:val="ru-RU"/>
        </w:rPr>
        <w:t>17</w:t>
      </w:r>
      <w:r w:rsidRPr="00CE216B">
        <w:rPr>
          <w:color w:val="000000" w:themeColor="text1"/>
          <w:sz w:val="22"/>
          <w:szCs w:val="22"/>
          <w:lang w:val="ru-RU"/>
        </w:rPr>
        <w:t xml:space="preserve">, параметров риска вероятности невозврата (PD) и убытка в случае невозврата (LGD), относящихся к базовой позиции, на соответствующие PD и LGD, которые были бы присвоены в рамках подхода, основанного на внутренних рейтинговых моделях (далее — </w:t>
      </w:r>
      <w:r w:rsidR="00EE5ED1" w:rsidRPr="00EE5ED1">
        <w:rPr>
          <w:color w:val="000000" w:themeColor="text1"/>
          <w:sz w:val="22"/>
          <w:szCs w:val="22"/>
          <w:lang w:val="ru-RU"/>
        </w:rPr>
        <w:t xml:space="preserve">подход </w:t>
      </w:r>
      <w:r w:rsidRPr="00CE216B">
        <w:rPr>
          <w:color w:val="000000" w:themeColor="text1"/>
          <w:sz w:val="22"/>
          <w:szCs w:val="22"/>
          <w:lang w:val="ru-RU"/>
        </w:rPr>
        <w:t>IRB), с использованием собственных оценок LGD, сопоставимой прямой подверженности перед поставщиком защиты</w:t>
      </w:r>
    </w:p>
    <w:p w14:paraId="0B54612A" w14:textId="098E54DB" w:rsidR="00CE216B" w:rsidRPr="00F5135F" w:rsidRDefault="00F5135F" w:rsidP="00F5135F">
      <w:pPr>
        <w:tabs>
          <w:tab w:val="left" w:pos="426"/>
        </w:tabs>
        <w:jc w:val="both"/>
        <w:rPr>
          <w:color w:val="000000" w:themeColor="text1"/>
          <w:sz w:val="22"/>
          <w:szCs w:val="22"/>
          <w:lang w:val="ru-RU"/>
        </w:rPr>
      </w:pPr>
      <w:r w:rsidRPr="00F5135F">
        <w:rPr>
          <w:i/>
          <w:iCs/>
          <w:color w:val="000000" w:themeColor="text1"/>
          <w:sz w:val="22"/>
          <w:szCs w:val="22"/>
          <w:lang w:val="ru-RU"/>
        </w:rPr>
        <w:t>физическое золото</w:t>
      </w:r>
      <w:r w:rsidRPr="00F5135F">
        <w:rPr>
          <w:color w:val="000000" w:themeColor="text1"/>
          <w:sz w:val="22"/>
          <w:szCs w:val="22"/>
          <w:lang w:val="ru-RU"/>
        </w:rPr>
        <w:t xml:space="preserve"> — золото как сырьевой товар, включая золотые бруски, слитки и монеты, которые обычно принимаются на рынке драгоценных металлов там, где существуют ликвидные рынки драгоценных металлов, и стоимость которых определяется стоимостью содержащегося в них золота, определяемой пробой и массой, а не нумизматической ценностью;</w:t>
      </w:r>
    </w:p>
    <w:p w14:paraId="0DED981B" w14:textId="3ECFFA53" w:rsidR="004A0DD9" w:rsidRPr="00B228D1" w:rsidRDefault="00B228D1" w:rsidP="00C57CEE">
      <w:pPr>
        <w:pStyle w:val="ListParagraph"/>
        <w:tabs>
          <w:tab w:val="left" w:pos="426"/>
        </w:tabs>
        <w:ind w:left="0"/>
        <w:jc w:val="both"/>
        <w:rPr>
          <w:color w:val="000000" w:themeColor="text1"/>
          <w:sz w:val="22"/>
          <w:szCs w:val="22"/>
          <w:lang w:val="ru-RU" w:eastAsia="ro-MD"/>
        </w:rPr>
      </w:pPr>
      <w:r w:rsidRPr="00B228D1">
        <w:rPr>
          <w:color w:val="000000" w:themeColor="text1"/>
          <w:sz w:val="22"/>
          <w:szCs w:val="22"/>
          <w:lang w:val="ru-RU" w:eastAsia="ro-MD"/>
        </w:rPr>
        <w:t>«</w:t>
      </w:r>
      <w:r w:rsidRPr="00B228D1">
        <w:rPr>
          <w:i/>
          <w:iCs/>
          <w:color w:val="000000" w:themeColor="text1"/>
          <w:sz w:val="22"/>
          <w:szCs w:val="22"/>
          <w:lang w:val="ru-RU" w:eastAsia="ro-MD"/>
        </w:rPr>
        <w:t>подверженность, обеспеченная недвижимым имуществом</w:t>
      </w:r>
      <w:r w:rsidRPr="00B228D1">
        <w:rPr>
          <w:b/>
          <w:bCs/>
          <w:color w:val="000000" w:themeColor="text1"/>
          <w:sz w:val="22"/>
          <w:szCs w:val="22"/>
          <w:lang w:val="ru-RU" w:eastAsia="ro-MD"/>
        </w:rPr>
        <w:t>»</w:t>
      </w:r>
      <w:r w:rsidRPr="00B228D1">
        <w:rPr>
          <w:color w:val="000000" w:themeColor="text1"/>
          <w:sz w:val="22"/>
          <w:szCs w:val="22"/>
          <w:lang w:val="ru-RU" w:eastAsia="ro-MD"/>
        </w:rPr>
        <w:t xml:space="preserve">, или </w:t>
      </w:r>
      <w:r w:rsidRPr="00B228D1">
        <w:rPr>
          <w:i/>
          <w:iCs/>
          <w:color w:val="000000" w:themeColor="text1"/>
          <w:sz w:val="22"/>
          <w:szCs w:val="22"/>
          <w:lang w:val="ru-RU" w:eastAsia="ro-MD"/>
        </w:rPr>
        <w:t>«подверженность, обеспеченная ипотекой на недвижимое имущество»,</w:t>
      </w:r>
      <w:r w:rsidRPr="00B228D1">
        <w:rPr>
          <w:color w:val="000000" w:themeColor="text1"/>
          <w:sz w:val="22"/>
          <w:szCs w:val="22"/>
          <w:lang w:val="ru-RU" w:eastAsia="ro-MD"/>
        </w:rPr>
        <w:t xml:space="preserve"> или </w:t>
      </w:r>
      <w:r w:rsidRPr="00B228D1">
        <w:rPr>
          <w:i/>
          <w:iCs/>
          <w:color w:val="000000" w:themeColor="text1"/>
          <w:sz w:val="22"/>
          <w:szCs w:val="22"/>
          <w:lang w:val="ru-RU" w:eastAsia="ro-MD"/>
        </w:rPr>
        <w:t>«подверженность, обеспеченная вещным обеспечением в виде недвижимого имущества»</w:t>
      </w:r>
      <w:r w:rsidRPr="00B228D1">
        <w:rPr>
          <w:color w:val="000000" w:themeColor="text1"/>
          <w:sz w:val="22"/>
          <w:szCs w:val="22"/>
          <w:lang w:val="ru-RU" w:eastAsia="ro-MD"/>
        </w:rPr>
        <w:t xml:space="preserve"> — подверженность, обеспеченная жилым или коммерческим недвижимым имуществом;</w:t>
      </w:r>
    </w:p>
    <w:p w14:paraId="65E81892" w14:textId="079F5CEA" w:rsidR="00906010" w:rsidRPr="00B228D1" w:rsidRDefault="00906010" w:rsidP="00C57CEE">
      <w:pPr>
        <w:pStyle w:val="ListParagraph"/>
        <w:tabs>
          <w:tab w:val="left" w:pos="426"/>
        </w:tabs>
        <w:ind w:left="0"/>
        <w:jc w:val="both"/>
        <w:rPr>
          <w:color w:val="000000" w:themeColor="text1"/>
          <w:sz w:val="22"/>
          <w:szCs w:val="22"/>
          <w:lang w:val="ru-RU" w:eastAsia="ro-MD"/>
        </w:rPr>
      </w:pPr>
      <w:r w:rsidRPr="00906010">
        <w:rPr>
          <w:color w:val="000000" w:themeColor="text1"/>
          <w:sz w:val="22"/>
          <w:szCs w:val="22"/>
          <w:lang w:val="ru-RU" w:eastAsia="ro-MD"/>
        </w:rPr>
        <w:t>«</w:t>
      </w:r>
      <w:r w:rsidRPr="00B228D1">
        <w:rPr>
          <w:i/>
          <w:iCs/>
          <w:color w:val="000000" w:themeColor="text1"/>
          <w:sz w:val="22"/>
          <w:szCs w:val="22"/>
          <w:lang w:val="ru-RU" w:eastAsia="ro-MD"/>
        </w:rPr>
        <w:t xml:space="preserve">подверженность, обеспеченная </w:t>
      </w:r>
      <w:r w:rsidRPr="00906010">
        <w:rPr>
          <w:color w:val="000000" w:themeColor="text1"/>
          <w:sz w:val="22"/>
          <w:szCs w:val="22"/>
          <w:lang w:val="ru-RU" w:eastAsia="ro-MD"/>
        </w:rPr>
        <w:t>коммерческой недвижимостью» или «</w:t>
      </w:r>
      <w:r w:rsidRPr="00B228D1">
        <w:rPr>
          <w:i/>
          <w:iCs/>
          <w:color w:val="000000" w:themeColor="text1"/>
          <w:sz w:val="22"/>
          <w:szCs w:val="22"/>
          <w:lang w:val="ru-RU" w:eastAsia="ro-MD"/>
        </w:rPr>
        <w:t>подверженность, обеспеченная</w:t>
      </w:r>
      <w:r w:rsidRPr="00906010">
        <w:rPr>
          <w:color w:val="000000" w:themeColor="text1"/>
          <w:sz w:val="22"/>
          <w:szCs w:val="22"/>
          <w:lang w:val="ru-RU" w:eastAsia="ro-MD"/>
        </w:rPr>
        <w:t xml:space="preserve"> ипотекой на коммерческую недвижимость» — </w:t>
      </w:r>
      <w:r w:rsidR="005625BB" w:rsidRPr="005625BB">
        <w:rPr>
          <w:color w:val="000000" w:themeColor="text1"/>
          <w:sz w:val="22"/>
          <w:szCs w:val="22"/>
          <w:lang w:val="ru-RU" w:eastAsia="ro-MD"/>
        </w:rPr>
        <w:t>подверженность, обеспеченная</w:t>
      </w:r>
      <w:r w:rsidR="005625BB" w:rsidRPr="00B228D1">
        <w:rPr>
          <w:i/>
          <w:iCs/>
          <w:color w:val="000000" w:themeColor="text1"/>
          <w:sz w:val="22"/>
          <w:szCs w:val="22"/>
          <w:lang w:val="ru-RU" w:eastAsia="ro-MD"/>
        </w:rPr>
        <w:t xml:space="preserve"> </w:t>
      </w:r>
      <w:r w:rsidRPr="00906010">
        <w:rPr>
          <w:color w:val="000000" w:themeColor="text1"/>
          <w:sz w:val="22"/>
          <w:szCs w:val="22"/>
          <w:lang w:val="ru-RU" w:eastAsia="ro-MD"/>
        </w:rPr>
        <w:t>коммерческой недвижимостью;</w:t>
      </w:r>
    </w:p>
    <w:p w14:paraId="0204E523" w14:textId="78C9DBD5" w:rsidR="00B33206" w:rsidRDefault="00B33206" w:rsidP="006D4DE6">
      <w:pPr>
        <w:pStyle w:val="ListParagraph"/>
        <w:tabs>
          <w:tab w:val="left" w:pos="0"/>
        </w:tabs>
        <w:ind w:left="0"/>
        <w:contextualSpacing w:val="0"/>
        <w:jc w:val="both"/>
        <w:rPr>
          <w:color w:val="000000" w:themeColor="text1"/>
          <w:sz w:val="22"/>
          <w:szCs w:val="22"/>
          <w:lang w:val="ru-RU" w:eastAsia="ro-MD"/>
        </w:rPr>
      </w:pPr>
      <w:r w:rsidRPr="00B33206">
        <w:rPr>
          <w:color w:val="000000" w:themeColor="text1"/>
          <w:sz w:val="22"/>
          <w:szCs w:val="22"/>
          <w:lang w:val="ru-RU" w:eastAsia="ro-MD"/>
        </w:rPr>
        <w:t>«</w:t>
      </w:r>
      <w:r w:rsidRPr="00B228D1">
        <w:rPr>
          <w:i/>
          <w:iCs/>
          <w:color w:val="000000" w:themeColor="text1"/>
          <w:sz w:val="22"/>
          <w:szCs w:val="22"/>
          <w:lang w:val="ru-RU" w:eastAsia="ro-MD"/>
        </w:rPr>
        <w:t xml:space="preserve">подверженность, обеспеченная </w:t>
      </w:r>
      <w:r w:rsidRPr="00B33206">
        <w:rPr>
          <w:i/>
          <w:iCs/>
          <w:color w:val="000000" w:themeColor="text1"/>
          <w:sz w:val="22"/>
          <w:szCs w:val="22"/>
          <w:lang w:val="ru-RU" w:eastAsia="ro-MD"/>
        </w:rPr>
        <w:t>жилой недвижимостью</w:t>
      </w:r>
      <w:r w:rsidRPr="00B33206">
        <w:rPr>
          <w:color w:val="000000" w:themeColor="text1"/>
          <w:sz w:val="22"/>
          <w:szCs w:val="22"/>
          <w:lang w:val="ru-RU" w:eastAsia="ro-MD"/>
        </w:rPr>
        <w:t>» или «</w:t>
      </w:r>
      <w:r w:rsidRPr="00B228D1">
        <w:rPr>
          <w:i/>
          <w:iCs/>
          <w:color w:val="000000" w:themeColor="text1"/>
          <w:sz w:val="22"/>
          <w:szCs w:val="22"/>
          <w:lang w:val="ru-RU" w:eastAsia="ro-MD"/>
        </w:rPr>
        <w:t xml:space="preserve">подверженность, обеспеченная </w:t>
      </w:r>
      <w:r w:rsidRPr="00B33206">
        <w:rPr>
          <w:i/>
          <w:iCs/>
          <w:color w:val="000000" w:themeColor="text1"/>
          <w:sz w:val="22"/>
          <w:szCs w:val="22"/>
          <w:lang w:val="ru-RU" w:eastAsia="ro-MD"/>
        </w:rPr>
        <w:t>ипотекой на жилую недвижимость</w:t>
      </w:r>
      <w:r w:rsidRPr="00B33206">
        <w:rPr>
          <w:color w:val="000000" w:themeColor="text1"/>
          <w:sz w:val="22"/>
          <w:szCs w:val="22"/>
          <w:lang w:val="ru-RU" w:eastAsia="ro-MD"/>
        </w:rPr>
        <w:t>» — подверженность, обеспеченная</w:t>
      </w:r>
      <w:r w:rsidRPr="00B228D1">
        <w:rPr>
          <w:i/>
          <w:iCs/>
          <w:color w:val="000000" w:themeColor="text1"/>
          <w:sz w:val="22"/>
          <w:szCs w:val="22"/>
          <w:lang w:val="ru-RU" w:eastAsia="ro-MD"/>
        </w:rPr>
        <w:t xml:space="preserve"> </w:t>
      </w:r>
      <w:r w:rsidRPr="00B33206">
        <w:rPr>
          <w:color w:val="000000" w:themeColor="text1"/>
          <w:sz w:val="22"/>
          <w:szCs w:val="22"/>
          <w:lang w:val="ru-RU" w:eastAsia="ro-MD"/>
        </w:rPr>
        <w:t>жилой недвижимостью;</w:t>
      </w:r>
    </w:p>
    <w:p w14:paraId="453705D0" w14:textId="3D5F2C69" w:rsidR="00C27C1F" w:rsidRPr="0027401E" w:rsidRDefault="0027401E" w:rsidP="006D4DE6">
      <w:pPr>
        <w:pStyle w:val="ListParagraph"/>
        <w:tabs>
          <w:tab w:val="left" w:pos="0"/>
        </w:tabs>
        <w:ind w:left="0"/>
        <w:contextualSpacing w:val="0"/>
        <w:jc w:val="both"/>
        <w:rPr>
          <w:color w:val="000000" w:themeColor="text1"/>
          <w:sz w:val="22"/>
          <w:szCs w:val="22"/>
          <w:lang w:val="ru-RU" w:eastAsia="ro-MD"/>
        </w:rPr>
      </w:pPr>
      <w:r w:rsidRPr="0027401E">
        <w:rPr>
          <w:i/>
          <w:iCs/>
          <w:color w:val="000000" w:themeColor="text1"/>
          <w:sz w:val="22"/>
          <w:szCs w:val="22"/>
          <w:lang w:val="ru-RU" w:eastAsia="ro-MD"/>
        </w:rPr>
        <w:t xml:space="preserve">стоимость недвижимого имущества — </w:t>
      </w:r>
      <w:r w:rsidRPr="0027401E">
        <w:rPr>
          <w:color w:val="000000" w:themeColor="text1"/>
          <w:sz w:val="22"/>
          <w:szCs w:val="22"/>
          <w:lang w:val="ru-RU" w:eastAsia="ro-MD"/>
        </w:rPr>
        <w:t>стоимость жилого или коммерческого объекта недвижимости, определяемая в соответствии с пунктами</w:t>
      </w:r>
      <w:r w:rsidRPr="0027401E">
        <w:rPr>
          <w:i/>
          <w:iCs/>
          <w:color w:val="000000" w:themeColor="text1"/>
          <w:sz w:val="22"/>
          <w:szCs w:val="22"/>
          <w:lang w:val="ru-RU" w:eastAsia="ro-MD"/>
        </w:rPr>
        <w:t xml:space="preserve"> </w:t>
      </w:r>
      <w:proofErr w:type="gramStart"/>
      <w:r w:rsidR="00C01BE8" w:rsidRPr="0027401E">
        <w:rPr>
          <w:color w:val="000000" w:themeColor="text1"/>
          <w:sz w:val="22"/>
          <w:szCs w:val="22"/>
          <w:lang w:val="ru-RU" w:eastAsia="ro-MD"/>
        </w:rPr>
        <w:t>107</w:t>
      </w:r>
      <w:r w:rsidR="00C01BE8" w:rsidRPr="0027401E">
        <w:rPr>
          <w:color w:val="000000" w:themeColor="text1"/>
          <w:sz w:val="22"/>
          <w:szCs w:val="22"/>
          <w:vertAlign w:val="superscript"/>
          <w:lang w:val="ru-RU" w:eastAsia="ro-MD"/>
        </w:rPr>
        <w:t>1</w:t>
      </w:r>
      <w:r w:rsidR="00C01BE8" w:rsidRPr="0027401E">
        <w:rPr>
          <w:color w:val="000000" w:themeColor="text1"/>
          <w:sz w:val="22"/>
          <w:szCs w:val="22"/>
          <w:lang w:val="ru-RU" w:eastAsia="ro-MD"/>
        </w:rPr>
        <w:t>-107</w:t>
      </w:r>
      <w:r w:rsidR="00C01BE8" w:rsidRPr="0027401E">
        <w:rPr>
          <w:color w:val="000000" w:themeColor="text1"/>
          <w:sz w:val="22"/>
          <w:szCs w:val="22"/>
          <w:vertAlign w:val="superscript"/>
          <w:lang w:val="ru-RU" w:eastAsia="ro-MD"/>
        </w:rPr>
        <w:t>3</w:t>
      </w:r>
      <w:proofErr w:type="gramEnd"/>
      <w:r w:rsidR="00313633" w:rsidRPr="0027401E">
        <w:rPr>
          <w:color w:val="000000" w:themeColor="text1"/>
          <w:sz w:val="22"/>
          <w:szCs w:val="22"/>
          <w:lang w:val="ru-RU" w:eastAsia="ro-MD"/>
        </w:rPr>
        <w:t>.</w:t>
      </w:r>
      <w:r w:rsidRPr="0027401E">
        <w:rPr>
          <w:color w:val="000000" w:themeColor="text1"/>
          <w:sz w:val="22"/>
          <w:szCs w:val="22"/>
          <w:lang w:val="ru-RU" w:eastAsia="ro-MD"/>
        </w:rPr>
        <w:t>»</w:t>
      </w:r>
      <w:r w:rsidR="00C27C1F" w:rsidRPr="0027401E">
        <w:rPr>
          <w:color w:val="000000" w:themeColor="text1"/>
          <w:sz w:val="22"/>
          <w:szCs w:val="22"/>
          <w:lang w:val="ru-RU" w:eastAsia="ro-MD"/>
        </w:rPr>
        <w:t>;</w:t>
      </w:r>
    </w:p>
    <w:p w14:paraId="4788A398" w14:textId="142F429C" w:rsidR="00D90138" w:rsidRPr="00884D1F" w:rsidRDefault="00AA3FD3" w:rsidP="005651CC">
      <w:pPr>
        <w:pStyle w:val="ListParagraph"/>
        <w:numPr>
          <w:ilvl w:val="2"/>
          <w:numId w:val="27"/>
        </w:numPr>
        <w:tabs>
          <w:tab w:val="left" w:pos="0"/>
        </w:tabs>
        <w:ind w:left="0" w:firstLine="567"/>
        <w:contextualSpacing w:val="0"/>
        <w:jc w:val="both"/>
        <w:rPr>
          <w:color w:val="000000" w:themeColor="text1"/>
          <w:sz w:val="22"/>
          <w:szCs w:val="22"/>
          <w:lang w:val="ro-MD"/>
        </w:rPr>
      </w:pPr>
      <w:r w:rsidRPr="003E3E4A">
        <w:rPr>
          <w:color w:val="000000" w:themeColor="text1"/>
          <w:sz w:val="22"/>
          <w:szCs w:val="22"/>
          <w:lang w:val="ru-RU" w:eastAsia="ro-MD"/>
        </w:rPr>
        <w:t>понятия «</w:t>
      </w:r>
      <w:r w:rsidR="003E3E4A" w:rsidRPr="003E3E4A">
        <w:rPr>
          <w:sz w:val="22"/>
          <w:szCs w:val="22"/>
          <w:lang w:val="ru-RU" w:eastAsia="ro-MD"/>
        </w:rPr>
        <w:t>сделки маржинального кредитования»</w:t>
      </w:r>
      <w:r w:rsidR="00D52F10" w:rsidRPr="003E3E4A">
        <w:rPr>
          <w:color w:val="000000" w:themeColor="text1"/>
          <w:sz w:val="22"/>
          <w:szCs w:val="22"/>
          <w:lang w:val="ro-RO" w:eastAsia="ro-MD"/>
        </w:rPr>
        <w:t>,</w:t>
      </w:r>
      <w:r w:rsidR="00DE0A3D" w:rsidRPr="003E3E4A">
        <w:rPr>
          <w:color w:val="000000" w:themeColor="text1"/>
          <w:sz w:val="22"/>
          <w:szCs w:val="22"/>
          <w:lang w:val="ro-RO" w:eastAsia="ro-MD"/>
        </w:rPr>
        <w:t xml:space="preserve"> </w:t>
      </w:r>
      <w:r w:rsidRPr="003E3E4A">
        <w:rPr>
          <w:color w:val="000000" w:themeColor="text1"/>
          <w:sz w:val="22"/>
          <w:szCs w:val="22"/>
          <w:lang w:val="ru-RU" w:eastAsia="ro-MD"/>
        </w:rPr>
        <w:t>«</w:t>
      </w:r>
      <w:r w:rsidRPr="003E3E4A">
        <w:rPr>
          <w:sz w:val="22"/>
          <w:szCs w:val="22"/>
          <w:lang w:val="ru-RU" w:eastAsia="ro-MD"/>
        </w:rPr>
        <w:t>маржинальный договор (</w:t>
      </w:r>
      <w:r w:rsidRPr="003E3E4A">
        <w:rPr>
          <w:sz w:val="22"/>
          <w:szCs w:val="22"/>
          <w:lang w:eastAsia="ro-MD"/>
        </w:rPr>
        <w:t>margin</w:t>
      </w:r>
      <w:r w:rsidRPr="003E3E4A">
        <w:rPr>
          <w:sz w:val="22"/>
          <w:szCs w:val="22"/>
          <w:lang w:val="ru-RU" w:eastAsia="ro-MD"/>
        </w:rPr>
        <w:t xml:space="preserve"> </w:t>
      </w:r>
      <w:r w:rsidRPr="003E3E4A">
        <w:rPr>
          <w:sz w:val="22"/>
          <w:szCs w:val="22"/>
          <w:lang w:eastAsia="ro-MD"/>
        </w:rPr>
        <w:t>agreement</w:t>
      </w:r>
      <w:r w:rsidR="00DE0A3D" w:rsidRPr="003E3E4A">
        <w:rPr>
          <w:color w:val="000000" w:themeColor="text1"/>
          <w:sz w:val="22"/>
          <w:szCs w:val="22"/>
          <w:lang w:val="ro-RO" w:eastAsia="ro-MD"/>
        </w:rPr>
        <w:t>)</w:t>
      </w:r>
      <w:r w:rsidRPr="003E3E4A">
        <w:rPr>
          <w:color w:val="000000" w:themeColor="text1"/>
          <w:sz w:val="22"/>
          <w:szCs w:val="22"/>
          <w:lang w:val="ru-RU" w:eastAsia="ro-MD"/>
        </w:rPr>
        <w:t>»</w:t>
      </w:r>
      <w:r w:rsidR="00D52F10" w:rsidRPr="003E3E4A">
        <w:rPr>
          <w:color w:val="000000" w:themeColor="text1"/>
          <w:sz w:val="22"/>
          <w:szCs w:val="22"/>
          <w:lang w:val="ro-RO" w:eastAsia="ro-MD"/>
        </w:rPr>
        <w:t xml:space="preserve"> </w:t>
      </w:r>
      <w:r w:rsidR="003E3E4A" w:rsidRPr="003E3E4A">
        <w:rPr>
          <w:color w:val="000000" w:themeColor="text1"/>
          <w:sz w:val="22"/>
          <w:szCs w:val="22"/>
          <w:lang w:val="ru-RU" w:eastAsia="ro-MD"/>
        </w:rPr>
        <w:t>и</w:t>
      </w:r>
      <w:r w:rsidR="00D52F10" w:rsidRPr="003E3E4A">
        <w:rPr>
          <w:color w:val="000000" w:themeColor="text1"/>
          <w:sz w:val="22"/>
          <w:szCs w:val="22"/>
          <w:lang w:val="ro-RO" w:eastAsia="ro-MD"/>
        </w:rPr>
        <w:t xml:space="preserve"> </w:t>
      </w:r>
      <w:r w:rsidR="003E3E4A" w:rsidRPr="003E3E4A">
        <w:rPr>
          <w:color w:val="000000" w:themeColor="text1"/>
          <w:sz w:val="22"/>
          <w:szCs w:val="22"/>
          <w:lang w:val="ru-RU" w:eastAsia="ro-MD"/>
        </w:rPr>
        <w:t>«</w:t>
      </w:r>
      <w:r w:rsidR="003E3E4A" w:rsidRPr="003E3E4A">
        <w:rPr>
          <w:sz w:val="22"/>
          <w:szCs w:val="22"/>
          <w:lang w:val="ru-RU" w:eastAsia="ro-MD"/>
        </w:rPr>
        <w:t>маржинальный порог (</w:t>
      </w:r>
      <w:proofErr w:type="spellStart"/>
      <w:r w:rsidR="003E3E4A" w:rsidRPr="003E3E4A">
        <w:rPr>
          <w:sz w:val="22"/>
          <w:szCs w:val="22"/>
          <w:lang w:val="ru-RU" w:eastAsia="ro-MD"/>
        </w:rPr>
        <w:t>margin</w:t>
      </w:r>
      <w:proofErr w:type="spellEnd"/>
      <w:r w:rsidR="003E3E4A" w:rsidRPr="003E3E4A">
        <w:rPr>
          <w:sz w:val="22"/>
          <w:szCs w:val="22"/>
          <w:lang w:val="ru-RU" w:eastAsia="ro-MD"/>
        </w:rPr>
        <w:t xml:space="preserve"> </w:t>
      </w:r>
      <w:proofErr w:type="spellStart"/>
      <w:r w:rsidR="003E3E4A" w:rsidRPr="003E3E4A">
        <w:rPr>
          <w:sz w:val="22"/>
          <w:szCs w:val="22"/>
          <w:lang w:val="ru-RU" w:eastAsia="ro-MD"/>
        </w:rPr>
        <w:t>threshold</w:t>
      </w:r>
      <w:proofErr w:type="spellEnd"/>
      <w:r w:rsidR="00D52F10" w:rsidRPr="003E3E4A">
        <w:rPr>
          <w:color w:val="000000" w:themeColor="text1"/>
          <w:sz w:val="22"/>
          <w:szCs w:val="22"/>
          <w:lang w:val="ro-RO" w:eastAsia="ro-MD"/>
        </w:rPr>
        <w:t>)</w:t>
      </w:r>
      <w:r w:rsidR="003E3E4A" w:rsidRPr="003E3E4A">
        <w:rPr>
          <w:color w:val="000000" w:themeColor="text1"/>
          <w:sz w:val="22"/>
          <w:szCs w:val="22"/>
          <w:lang w:val="ru-RU" w:eastAsia="ro-MD"/>
        </w:rPr>
        <w:t>»</w:t>
      </w:r>
      <w:r w:rsidR="00DE0A3D" w:rsidRPr="003E3E4A">
        <w:rPr>
          <w:color w:val="000000" w:themeColor="text1"/>
          <w:sz w:val="22"/>
          <w:szCs w:val="22"/>
          <w:lang w:val="ro-RO" w:eastAsia="ro-MD"/>
        </w:rPr>
        <w:t xml:space="preserve"> </w:t>
      </w:r>
      <w:r w:rsidR="003E3E4A" w:rsidRPr="003E3E4A">
        <w:rPr>
          <w:color w:val="000000" w:themeColor="text1"/>
          <w:sz w:val="22"/>
          <w:szCs w:val="22"/>
          <w:lang w:val="ru-RU" w:eastAsia="ro-MD"/>
        </w:rPr>
        <w:t>исключить</w:t>
      </w:r>
      <w:r w:rsidR="00C01BE8" w:rsidRPr="00884D1F">
        <w:rPr>
          <w:color w:val="000000" w:themeColor="text1"/>
          <w:sz w:val="22"/>
          <w:szCs w:val="22"/>
          <w:lang w:val="ro-RO" w:eastAsia="ro-MD"/>
        </w:rPr>
        <w:t>.</w:t>
      </w:r>
    </w:p>
    <w:p w14:paraId="49C6BF46" w14:textId="6B66BA41" w:rsidR="000728FD" w:rsidRPr="000728FD" w:rsidRDefault="000728FD" w:rsidP="000728FD">
      <w:pPr>
        <w:pStyle w:val="ListParagraph"/>
        <w:numPr>
          <w:ilvl w:val="1"/>
          <w:numId w:val="27"/>
        </w:numPr>
        <w:tabs>
          <w:tab w:val="left" w:pos="567"/>
        </w:tabs>
        <w:spacing w:before="80"/>
        <w:ind w:left="0" w:firstLine="567"/>
        <w:jc w:val="both"/>
        <w:rPr>
          <w:color w:val="000000" w:themeColor="text1"/>
          <w:sz w:val="22"/>
          <w:szCs w:val="22"/>
          <w:lang w:val="ru-RU"/>
        </w:rPr>
      </w:pPr>
      <w:r w:rsidRPr="000728FD">
        <w:rPr>
          <w:color w:val="000000" w:themeColor="text1"/>
          <w:sz w:val="22"/>
          <w:szCs w:val="22"/>
          <w:lang w:val="ru-RU"/>
        </w:rPr>
        <w:t xml:space="preserve">Пункт 4 </w:t>
      </w:r>
      <w:r w:rsidR="00046E44" w:rsidRPr="00046E44">
        <w:rPr>
          <w:color w:val="000000" w:themeColor="text1"/>
          <w:sz w:val="22"/>
          <w:szCs w:val="22"/>
          <w:lang w:val="ru-RU"/>
        </w:rPr>
        <w:t>изложить в следующей редакции</w:t>
      </w:r>
      <w:r w:rsidRPr="000728FD">
        <w:rPr>
          <w:color w:val="000000" w:themeColor="text1"/>
          <w:sz w:val="22"/>
          <w:szCs w:val="22"/>
          <w:lang w:val="ru-RU"/>
        </w:rPr>
        <w:t>:</w:t>
      </w:r>
    </w:p>
    <w:p w14:paraId="68A4AA15" w14:textId="77777777" w:rsidR="000728FD" w:rsidRPr="000728FD" w:rsidRDefault="000728FD" w:rsidP="000728FD">
      <w:pPr>
        <w:tabs>
          <w:tab w:val="left" w:pos="567"/>
        </w:tabs>
        <w:spacing w:before="80"/>
        <w:jc w:val="both"/>
        <w:rPr>
          <w:color w:val="000000" w:themeColor="text1"/>
          <w:sz w:val="22"/>
          <w:szCs w:val="22"/>
          <w:lang w:val="ru-RU"/>
        </w:rPr>
      </w:pPr>
      <w:r w:rsidRPr="000728FD">
        <w:rPr>
          <w:color w:val="000000" w:themeColor="text1"/>
          <w:sz w:val="22"/>
          <w:szCs w:val="22"/>
          <w:lang w:val="ru-RU"/>
        </w:rPr>
        <w:t>«В случае рисковой позиции, к которой банк применяет стандартизированный подход на основании Положения об оценке кредитного риска для банков в соответствии со стандартизированным подходом, утвержденного Постановлением Исполнительного комитета Национального банка Молдовы № 111/2018 (далее — Положение № 111/2018) или подход IRB на основании нормативного акта Национального банка Молдовы, касающегося учета кредитного риска в соответствии с подходом, основанным на внутренних рейтинговых моделях, но не используя при этом собственные оценки LGD, банк может прибегнуть к снижению кредитного риска в соответствии с настоящим Положением при расчете взвешенных по риску значений рисковых позиций в значении пункта 132 подпунктов 1) и 7) Положения о собственных средствах банков и требованиях к капиталу, утвержденного Постановлением Исполнительного комитета Национального банка Молдовы № 109/2018 (далее — Положение 109/2018) и, в соответствующих случаях, сумм ожидаемых убытков для целей пункта 30 подпункта 31) и пункта 96 подпункта 4) указанного положения.».</w:t>
      </w:r>
    </w:p>
    <w:p w14:paraId="0E7C0A01" w14:textId="2AB2C7AA" w:rsidR="0046367B" w:rsidRPr="00884D1F" w:rsidRDefault="00316371" w:rsidP="0046367B">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Дополнить</w:t>
      </w:r>
      <w:r w:rsidRPr="00316371">
        <w:rPr>
          <w:color w:val="000000" w:themeColor="text1"/>
          <w:sz w:val="22"/>
          <w:szCs w:val="22"/>
          <w:lang w:val="ru-RU"/>
        </w:rPr>
        <w:t xml:space="preserve"> </w:t>
      </w:r>
      <w:r>
        <w:rPr>
          <w:color w:val="000000" w:themeColor="text1"/>
          <w:sz w:val="22"/>
          <w:szCs w:val="22"/>
          <w:lang w:val="ru-RU"/>
        </w:rPr>
        <w:t>пунктами</w:t>
      </w:r>
      <w:r w:rsidR="0046367B" w:rsidRPr="00884D1F">
        <w:rPr>
          <w:color w:val="000000" w:themeColor="text1"/>
          <w:sz w:val="22"/>
          <w:szCs w:val="22"/>
          <w:lang w:val="ro-RO"/>
        </w:rPr>
        <w:t xml:space="preserve"> </w:t>
      </w:r>
      <w:proofErr w:type="gramStart"/>
      <w:r w:rsidR="0046367B" w:rsidRPr="00884D1F">
        <w:rPr>
          <w:color w:val="000000" w:themeColor="text1"/>
          <w:sz w:val="22"/>
          <w:szCs w:val="22"/>
          <w:lang w:val="ro-RO"/>
        </w:rPr>
        <w:t>4</w:t>
      </w:r>
      <w:r w:rsidR="0046367B" w:rsidRPr="00884D1F">
        <w:rPr>
          <w:color w:val="000000" w:themeColor="text1"/>
          <w:sz w:val="22"/>
          <w:szCs w:val="22"/>
          <w:vertAlign w:val="superscript"/>
          <w:lang w:val="ro-RO"/>
        </w:rPr>
        <w:t>1</w:t>
      </w:r>
      <w:r w:rsidR="0046367B" w:rsidRPr="00884D1F">
        <w:rPr>
          <w:color w:val="000000" w:themeColor="text1"/>
          <w:sz w:val="22"/>
          <w:szCs w:val="22"/>
          <w:lang w:val="ro-RO"/>
        </w:rPr>
        <w:t>-4</w:t>
      </w:r>
      <w:r w:rsidR="000728FD">
        <w:rPr>
          <w:color w:val="000000" w:themeColor="text1"/>
          <w:sz w:val="22"/>
          <w:szCs w:val="22"/>
          <w:vertAlign w:val="superscript"/>
          <w:lang w:val="ro-RO"/>
        </w:rPr>
        <w:t>2</w:t>
      </w:r>
      <w:proofErr w:type="gramEnd"/>
      <w:r w:rsidR="0046367B" w:rsidRPr="00884D1F">
        <w:rPr>
          <w:color w:val="000000" w:themeColor="text1"/>
          <w:sz w:val="22"/>
          <w:szCs w:val="22"/>
          <w:lang w:val="ro-RO"/>
        </w:rPr>
        <w:t xml:space="preserve"> </w:t>
      </w:r>
      <w:r>
        <w:rPr>
          <w:color w:val="000000" w:themeColor="text1"/>
          <w:sz w:val="22"/>
          <w:szCs w:val="22"/>
          <w:lang w:val="ru-RU"/>
        </w:rPr>
        <w:t>следующего содержания</w:t>
      </w:r>
      <w:r w:rsidR="0046367B" w:rsidRPr="00884D1F">
        <w:rPr>
          <w:color w:val="000000" w:themeColor="text1"/>
          <w:sz w:val="22"/>
          <w:szCs w:val="22"/>
          <w:lang w:val="ro-RO"/>
        </w:rPr>
        <w:t>:</w:t>
      </w:r>
    </w:p>
    <w:p w14:paraId="7CA269D5" w14:textId="1E37E751" w:rsidR="0046367B" w:rsidRPr="0096264D" w:rsidRDefault="0060307A" w:rsidP="0046367B">
      <w:pPr>
        <w:jc w:val="both"/>
        <w:rPr>
          <w:color w:val="000000" w:themeColor="text1"/>
          <w:sz w:val="22"/>
          <w:szCs w:val="22"/>
          <w:lang w:val="ru-RU" w:eastAsia="ro-MD"/>
        </w:rPr>
      </w:pPr>
      <w:bookmarkStart w:id="2" w:name="_Hlk227773707"/>
      <w:r w:rsidRPr="0096264D">
        <w:rPr>
          <w:b/>
          <w:bCs/>
          <w:color w:val="000000" w:themeColor="text1"/>
          <w:sz w:val="22"/>
          <w:szCs w:val="22"/>
          <w:lang w:val="ru-RU" w:eastAsia="ro-MD"/>
        </w:rPr>
        <w:t>«</w:t>
      </w:r>
      <w:r w:rsidR="0046367B" w:rsidRPr="0096264D">
        <w:rPr>
          <w:b/>
          <w:bCs/>
          <w:color w:val="000000" w:themeColor="text1"/>
          <w:sz w:val="22"/>
          <w:szCs w:val="22"/>
          <w:lang w:val="ru-RU" w:eastAsia="ro-MD"/>
        </w:rPr>
        <w:t>4</w:t>
      </w:r>
      <w:r w:rsidR="0046367B" w:rsidRPr="0096264D">
        <w:rPr>
          <w:b/>
          <w:bCs/>
          <w:color w:val="000000" w:themeColor="text1"/>
          <w:sz w:val="22"/>
          <w:szCs w:val="22"/>
          <w:vertAlign w:val="superscript"/>
          <w:lang w:val="ru-RU" w:eastAsia="ro-MD"/>
        </w:rPr>
        <w:t>1</w:t>
      </w:r>
      <w:r w:rsidR="0046367B" w:rsidRPr="0096264D">
        <w:rPr>
          <w:b/>
          <w:bCs/>
          <w:color w:val="000000" w:themeColor="text1"/>
          <w:sz w:val="22"/>
          <w:szCs w:val="22"/>
          <w:lang w:val="ru-RU" w:eastAsia="ro-MD"/>
        </w:rPr>
        <w:t>.</w:t>
      </w:r>
      <w:r w:rsidR="0046367B" w:rsidRPr="0096264D">
        <w:rPr>
          <w:color w:val="000000" w:themeColor="text1"/>
          <w:sz w:val="22"/>
          <w:szCs w:val="22"/>
          <w:lang w:val="ru-RU" w:eastAsia="ro-MD"/>
        </w:rPr>
        <w:t xml:space="preserve"> </w:t>
      </w:r>
      <w:r w:rsidR="0096264D" w:rsidRPr="0096264D">
        <w:rPr>
          <w:color w:val="000000" w:themeColor="text1"/>
          <w:sz w:val="22"/>
          <w:szCs w:val="22"/>
          <w:lang w:val="ru-RU" w:eastAsia="ro-MD"/>
        </w:rPr>
        <w:t xml:space="preserve">В случае подверженности, к которой банк применяет подход IRB с использованием собственных оценок LGD, банк может учитывать эффект финансируемой защиты кредита в соответствии с нормативным актом Национального банка Молдовы об отношении к  кредитному риску в соответствии с подходом, основанным на внутренних рейтинговых моделях, при расчете взвешенных по риску значений подверженностей и, в соответствующих случаях, сумм ожидаемых убытков в целях </w:t>
      </w:r>
      <w:r w:rsidR="000728FD" w:rsidRPr="000728FD">
        <w:rPr>
          <w:color w:val="000000" w:themeColor="text1"/>
          <w:sz w:val="22"/>
          <w:szCs w:val="22"/>
          <w:lang w:val="ru-RU" w:eastAsia="ro-MD"/>
        </w:rPr>
        <w:t>пункта 30 подпункта 3</w:t>
      </w:r>
      <w:r w:rsidR="000728FD" w:rsidRPr="000728FD">
        <w:rPr>
          <w:color w:val="000000" w:themeColor="text1"/>
          <w:sz w:val="22"/>
          <w:szCs w:val="22"/>
          <w:vertAlign w:val="superscript"/>
          <w:lang w:val="ru-RU" w:eastAsia="ro-MD"/>
        </w:rPr>
        <w:t>1</w:t>
      </w:r>
      <w:r w:rsidR="000728FD" w:rsidRPr="000728FD">
        <w:rPr>
          <w:color w:val="000000" w:themeColor="text1"/>
          <w:sz w:val="22"/>
          <w:szCs w:val="22"/>
          <w:lang w:val="ru-RU" w:eastAsia="ro-MD"/>
        </w:rPr>
        <w:t xml:space="preserve">) и пункта 96 подпункта 4) </w:t>
      </w:r>
      <w:r w:rsidR="0096264D" w:rsidRPr="0096264D">
        <w:rPr>
          <w:color w:val="000000" w:themeColor="text1"/>
          <w:sz w:val="22"/>
          <w:szCs w:val="22"/>
          <w:lang w:val="ru-RU" w:eastAsia="ro-MD"/>
        </w:rPr>
        <w:t>Регламента № 109/2018</w:t>
      </w:r>
      <w:r w:rsidR="0046367B" w:rsidRPr="0096264D">
        <w:rPr>
          <w:color w:val="000000" w:themeColor="text1"/>
          <w:sz w:val="22"/>
          <w:szCs w:val="22"/>
          <w:lang w:val="ru-RU" w:eastAsia="ro-MD"/>
        </w:rPr>
        <w:t>.</w:t>
      </w:r>
    </w:p>
    <w:p w14:paraId="0A3BC77E" w14:textId="3EA5D5C8" w:rsidR="0046367B" w:rsidRPr="0038081A" w:rsidRDefault="0046367B" w:rsidP="0046367B">
      <w:pPr>
        <w:jc w:val="both"/>
        <w:rPr>
          <w:color w:val="000000" w:themeColor="text1"/>
          <w:sz w:val="22"/>
          <w:szCs w:val="22"/>
          <w:lang w:val="ru-RU" w:eastAsia="ro-MD"/>
        </w:rPr>
      </w:pPr>
      <w:r w:rsidRPr="00BF525E">
        <w:rPr>
          <w:b/>
          <w:bCs/>
          <w:color w:val="000000" w:themeColor="text1"/>
          <w:sz w:val="22"/>
          <w:szCs w:val="22"/>
          <w:lang w:val="ru-RU" w:eastAsia="ro-MD"/>
        </w:rPr>
        <w:t>4</w:t>
      </w:r>
      <w:r w:rsidRPr="00BF525E">
        <w:rPr>
          <w:b/>
          <w:bCs/>
          <w:color w:val="000000" w:themeColor="text1"/>
          <w:sz w:val="22"/>
          <w:szCs w:val="22"/>
          <w:vertAlign w:val="superscript"/>
          <w:lang w:val="ru-RU" w:eastAsia="ro-MD"/>
        </w:rPr>
        <w:t>2</w:t>
      </w:r>
      <w:r w:rsidRPr="00BF525E">
        <w:rPr>
          <w:b/>
          <w:bCs/>
          <w:color w:val="000000" w:themeColor="text1"/>
          <w:sz w:val="22"/>
          <w:szCs w:val="22"/>
          <w:lang w:val="ru-RU" w:eastAsia="ro-MD"/>
        </w:rPr>
        <w:t>.</w:t>
      </w:r>
      <w:r w:rsidRPr="00BF525E">
        <w:rPr>
          <w:color w:val="000000" w:themeColor="text1"/>
          <w:sz w:val="22"/>
          <w:szCs w:val="22"/>
          <w:lang w:val="ru-RU" w:eastAsia="ro-MD"/>
        </w:rPr>
        <w:t xml:space="preserve"> </w:t>
      </w:r>
      <w:r w:rsidR="00BF525E" w:rsidRPr="00BF525E">
        <w:rPr>
          <w:color w:val="000000" w:themeColor="text1"/>
          <w:sz w:val="22"/>
          <w:szCs w:val="22"/>
          <w:lang w:val="ru-RU" w:eastAsia="ro-MD"/>
        </w:rPr>
        <w:t>Если банк применяет подход IRB, используя собственные оценки LGD как для первоначальной подверженности, так и для сопоставимых прямых подверженностей перед поставщиком защиты, банк может учитывать эффект нефинансовой защиты кредита в соответствии с нормативным актом Национального банка Молдовы</w:t>
      </w:r>
      <w:r w:rsidR="00F57378">
        <w:rPr>
          <w:color w:val="000000" w:themeColor="text1"/>
          <w:sz w:val="22"/>
          <w:szCs w:val="22"/>
          <w:lang w:val="ru-RU" w:eastAsia="ro-MD"/>
        </w:rPr>
        <w:t xml:space="preserve"> </w:t>
      </w:r>
      <w:r w:rsidR="00F57378" w:rsidRPr="0096264D">
        <w:rPr>
          <w:color w:val="000000" w:themeColor="text1"/>
          <w:sz w:val="22"/>
          <w:szCs w:val="22"/>
          <w:lang w:val="ru-RU" w:eastAsia="ro-MD"/>
        </w:rPr>
        <w:t xml:space="preserve">об отношении к  кредитному риску </w:t>
      </w:r>
      <w:r w:rsidR="00BF525E" w:rsidRPr="00BF525E">
        <w:rPr>
          <w:color w:val="000000" w:themeColor="text1"/>
          <w:sz w:val="22"/>
          <w:szCs w:val="22"/>
          <w:lang w:val="ru-RU" w:eastAsia="ro-MD"/>
        </w:rPr>
        <w:t xml:space="preserve">в соответствии с подходом, </w:t>
      </w:r>
      <w:bookmarkStart w:id="3" w:name="_Hlk232167016"/>
      <w:r w:rsidR="00BF525E" w:rsidRPr="00BF525E">
        <w:rPr>
          <w:color w:val="000000" w:themeColor="text1"/>
          <w:sz w:val="22"/>
          <w:szCs w:val="22"/>
          <w:lang w:val="ru-RU" w:eastAsia="ro-MD"/>
        </w:rPr>
        <w:lastRenderedPageBreak/>
        <w:t>основанным на внутренних рейтинговых моделях</w:t>
      </w:r>
      <w:bookmarkEnd w:id="3"/>
      <w:r w:rsidR="00BF525E" w:rsidRPr="00BF525E">
        <w:rPr>
          <w:color w:val="000000" w:themeColor="text1"/>
          <w:sz w:val="22"/>
          <w:szCs w:val="22"/>
          <w:lang w:val="ru-RU" w:eastAsia="ro-MD"/>
        </w:rPr>
        <w:t>, при расчете взвешенных по риску сумм подверженностей и, в соответствующих случаях, сумм ожидаемых убытков для целей Регламента № 109/2018. Во всех остальных случаях для этих целей банк может учитывать эффект нефинансовой защиты кредита при расчете взвешенных по риску сумм подверженностей и сумм ожидаемых убытков в соответствии с настоящим регламентом</w:t>
      </w:r>
      <w:r w:rsidRPr="00BF525E">
        <w:rPr>
          <w:color w:val="000000" w:themeColor="text1"/>
          <w:sz w:val="22"/>
          <w:szCs w:val="22"/>
          <w:lang w:val="ru-RU" w:eastAsia="ro-MD"/>
        </w:rPr>
        <w:t>.</w:t>
      </w:r>
      <w:r w:rsidR="0038081A" w:rsidRPr="0038081A">
        <w:rPr>
          <w:color w:val="000000" w:themeColor="text1"/>
          <w:sz w:val="22"/>
          <w:szCs w:val="22"/>
          <w:lang w:val="ru-RU" w:eastAsia="ro-MD"/>
        </w:rPr>
        <w:t>»</w:t>
      </w:r>
      <w:r w:rsidRPr="0038081A">
        <w:rPr>
          <w:color w:val="000000" w:themeColor="text1"/>
          <w:sz w:val="22"/>
          <w:szCs w:val="22"/>
          <w:lang w:val="ru-RU" w:eastAsia="ro-MD"/>
        </w:rPr>
        <w:t>.</w:t>
      </w:r>
    </w:p>
    <w:bookmarkEnd w:id="2"/>
    <w:p w14:paraId="08F768DB" w14:textId="4E1BBAB1" w:rsidR="007417B9" w:rsidRPr="00884D1F" w:rsidRDefault="000C2546"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w:t>
      </w:r>
      <w:r w:rsidRPr="000C2546">
        <w:rPr>
          <w:color w:val="000000" w:themeColor="text1"/>
          <w:sz w:val="22"/>
          <w:szCs w:val="22"/>
          <w:lang w:val="ru-RU"/>
        </w:rPr>
        <w:t xml:space="preserve"> </w:t>
      </w:r>
      <w:r>
        <w:rPr>
          <w:color w:val="000000" w:themeColor="text1"/>
          <w:sz w:val="22"/>
          <w:szCs w:val="22"/>
          <w:lang w:val="ru-RU"/>
        </w:rPr>
        <w:t xml:space="preserve">пункте </w:t>
      </w:r>
      <w:r w:rsidR="007B0AFF" w:rsidRPr="00884D1F">
        <w:rPr>
          <w:color w:val="000000" w:themeColor="text1"/>
          <w:sz w:val="22"/>
          <w:szCs w:val="22"/>
          <w:lang w:val="ro-MD"/>
        </w:rPr>
        <w:t>6</w:t>
      </w:r>
      <w:r>
        <w:rPr>
          <w:color w:val="000000" w:themeColor="text1"/>
          <w:sz w:val="22"/>
          <w:szCs w:val="22"/>
          <w:lang w:val="ru-RU"/>
        </w:rPr>
        <w:t xml:space="preserve"> после текста «Регламента № </w:t>
      </w:r>
      <w:r w:rsidR="004D47EB" w:rsidRPr="00884D1F">
        <w:rPr>
          <w:color w:val="000000" w:themeColor="text1"/>
          <w:sz w:val="22"/>
          <w:szCs w:val="22"/>
          <w:lang w:val="ro-MD"/>
        </w:rPr>
        <w:t>111/2018</w:t>
      </w:r>
      <w:r>
        <w:rPr>
          <w:color w:val="000000" w:themeColor="text1"/>
          <w:sz w:val="22"/>
          <w:szCs w:val="22"/>
          <w:lang w:val="ru-RU"/>
        </w:rPr>
        <w:t xml:space="preserve">» дополнить текстом «или нормативного </w:t>
      </w:r>
      <w:r w:rsidR="00FF292F" w:rsidRPr="00FF292F">
        <w:rPr>
          <w:color w:val="000000" w:themeColor="text1"/>
          <w:sz w:val="22"/>
          <w:szCs w:val="22"/>
          <w:lang w:val="ru-RU"/>
        </w:rPr>
        <w:t>акта Национального</w:t>
      </w:r>
      <w:r w:rsidR="00564B64" w:rsidRPr="00FF292F">
        <w:rPr>
          <w:color w:val="000000" w:themeColor="text1"/>
          <w:sz w:val="22"/>
          <w:szCs w:val="22"/>
          <w:lang w:val="ru-RU" w:eastAsia="ro-MD"/>
        </w:rPr>
        <w:t xml:space="preserve"> банка </w:t>
      </w:r>
      <w:r w:rsidR="00FF292F" w:rsidRPr="00FF292F">
        <w:rPr>
          <w:color w:val="000000" w:themeColor="text1"/>
          <w:sz w:val="22"/>
          <w:szCs w:val="22"/>
          <w:lang w:val="ru-RU" w:eastAsia="ro-MD"/>
        </w:rPr>
        <w:t>Молдовы об</w:t>
      </w:r>
      <w:r w:rsidR="00564B64" w:rsidRPr="00FF292F">
        <w:rPr>
          <w:color w:val="000000" w:themeColor="text1"/>
          <w:sz w:val="22"/>
          <w:szCs w:val="22"/>
          <w:lang w:val="ru-RU" w:eastAsia="ro-MD"/>
        </w:rPr>
        <w:t xml:space="preserve"> отношении </w:t>
      </w:r>
      <w:r w:rsidR="00E41145" w:rsidRPr="00FF292F">
        <w:rPr>
          <w:color w:val="000000" w:themeColor="text1"/>
          <w:sz w:val="22"/>
          <w:szCs w:val="22"/>
          <w:lang w:val="ru-RU" w:eastAsia="ro-MD"/>
        </w:rPr>
        <w:t>к кредитному</w:t>
      </w:r>
      <w:r w:rsidR="00564B64" w:rsidRPr="00FF292F">
        <w:rPr>
          <w:color w:val="000000" w:themeColor="text1"/>
          <w:sz w:val="22"/>
          <w:szCs w:val="22"/>
          <w:lang w:val="ru-RU" w:eastAsia="ro-MD"/>
        </w:rPr>
        <w:t xml:space="preserve"> риску в соответствии с</w:t>
      </w:r>
      <w:r w:rsidR="00564B64" w:rsidRPr="008D1156">
        <w:rPr>
          <w:color w:val="000000" w:themeColor="text1"/>
          <w:sz w:val="22"/>
          <w:szCs w:val="22"/>
          <w:lang w:val="ru-RU" w:eastAsia="ro-MD"/>
        </w:rPr>
        <w:t xml:space="preserve"> подходом</w:t>
      </w:r>
      <w:r w:rsidR="00046E44" w:rsidRPr="007544BA">
        <w:rPr>
          <w:color w:val="000000" w:themeColor="text1"/>
          <w:sz w:val="22"/>
          <w:szCs w:val="22"/>
          <w:lang w:val="ru-RU" w:eastAsia="ro-MD"/>
        </w:rPr>
        <w:t>,</w:t>
      </w:r>
      <w:r w:rsidR="00564B64">
        <w:rPr>
          <w:color w:val="000000" w:themeColor="text1"/>
          <w:sz w:val="22"/>
          <w:szCs w:val="22"/>
          <w:lang w:val="ru-RU" w:eastAsia="ro-MD"/>
        </w:rPr>
        <w:t xml:space="preserve"> </w:t>
      </w:r>
      <w:r w:rsidR="00046E44" w:rsidRPr="00046E44">
        <w:rPr>
          <w:color w:val="000000" w:themeColor="text1"/>
          <w:sz w:val="22"/>
          <w:szCs w:val="22"/>
          <w:lang w:val="ru-RU" w:eastAsia="ro-MD"/>
        </w:rPr>
        <w:t>основанным на внутренних рейтинговых моделях</w:t>
      </w:r>
      <w:r w:rsidR="00564B64" w:rsidRPr="008D1156">
        <w:rPr>
          <w:color w:val="000000" w:themeColor="text1"/>
          <w:sz w:val="22"/>
          <w:szCs w:val="22"/>
          <w:lang w:val="ru-RU" w:eastAsia="ro-MD"/>
        </w:rPr>
        <w:t>, в зависимости от обстоятельств</w:t>
      </w:r>
      <w:r w:rsidR="004D47EB" w:rsidRPr="00884D1F">
        <w:rPr>
          <w:color w:val="000000" w:themeColor="text1"/>
          <w:sz w:val="22"/>
          <w:szCs w:val="22"/>
          <w:lang w:val="ro-MD"/>
        </w:rPr>
        <w:t>,</w:t>
      </w:r>
      <w:r w:rsidR="00643821">
        <w:rPr>
          <w:color w:val="000000" w:themeColor="text1"/>
          <w:sz w:val="22"/>
          <w:szCs w:val="22"/>
          <w:lang w:val="ru-RU"/>
        </w:rPr>
        <w:t>»</w:t>
      </w:r>
      <w:r w:rsidR="004D47EB" w:rsidRPr="00884D1F">
        <w:rPr>
          <w:color w:val="000000" w:themeColor="text1"/>
          <w:sz w:val="22"/>
          <w:szCs w:val="22"/>
          <w:lang w:val="ro-MD"/>
        </w:rPr>
        <w:t>.</w:t>
      </w:r>
    </w:p>
    <w:p w14:paraId="4138DD61" w14:textId="6A4491FB" w:rsidR="007E133D" w:rsidRPr="00884D1F" w:rsidRDefault="00FF292F"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 пункте</w:t>
      </w:r>
      <w:r w:rsidR="007E133D" w:rsidRPr="00884D1F">
        <w:rPr>
          <w:color w:val="000000" w:themeColor="text1"/>
          <w:sz w:val="22"/>
          <w:szCs w:val="22"/>
          <w:lang w:val="ro-MD"/>
        </w:rPr>
        <w:t xml:space="preserve"> </w:t>
      </w:r>
      <w:r w:rsidR="004D47EB" w:rsidRPr="00884D1F">
        <w:rPr>
          <w:color w:val="000000" w:themeColor="text1"/>
          <w:sz w:val="22"/>
          <w:szCs w:val="22"/>
          <w:lang w:val="ro-MD"/>
        </w:rPr>
        <w:t>7</w:t>
      </w:r>
      <w:r w:rsidR="007E133D" w:rsidRPr="00884D1F">
        <w:rPr>
          <w:color w:val="000000" w:themeColor="text1"/>
          <w:sz w:val="22"/>
          <w:szCs w:val="22"/>
          <w:lang w:val="ro-MD"/>
        </w:rPr>
        <w:t>:</w:t>
      </w:r>
    </w:p>
    <w:p w14:paraId="1575701E" w14:textId="3D68C3E5" w:rsidR="007E133D" w:rsidRPr="00E41145" w:rsidRDefault="004F72C3" w:rsidP="00F64E3B">
      <w:pPr>
        <w:pStyle w:val="ListParagraph"/>
        <w:numPr>
          <w:ilvl w:val="2"/>
          <w:numId w:val="27"/>
        </w:numPr>
        <w:tabs>
          <w:tab w:val="left" w:pos="567"/>
        </w:tabs>
        <w:ind w:left="0" w:firstLine="567"/>
        <w:jc w:val="both"/>
        <w:rPr>
          <w:color w:val="000000" w:themeColor="text1"/>
          <w:sz w:val="22"/>
          <w:szCs w:val="22"/>
          <w:lang w:val="ru-RU"/>
        </w:rPr>
      </w:pPr>
      <w:r w:rsidRPr="00E41145">
        <w:rPr>
          <w:color w:val="000000" w:themeColor="text1"/>
          <w:sz w:val="22"/>
          <w:szCs w:val="22"/>
          <w:lang w:val="ru-RU"/>
        </w:rPr>
        <w:t xml:space="preserve">после </w:t>
      </w:r>
      <w:r w:rsidR="00FF292F" w:rsidRPr="00E41145">
        <w:rPr>
          <w:color w:val="000000" w:themeColor="text1"/>
          <w:sz w:val="22"/>
          <w:szCs w:val="22"/>
          <w:lang w:val="ru-RU"/>
        </w:rPr>
        <w:t>слов «</w:t>
      </w:r>
      <w:r w:rsidR="00FF292F" w:rsidRPr="00E41145">
        <w:rPr>
          <w:sz w:val="22"/>
          <w:szCs w:val="22"/>
          <w:lang w:val="ru-RU" w:eastAsia="ro-MD"/>
        </w:rPr>
        <w:t>согласно стандартизованному подходу» дополнить словами «</w:t>
      </w:r>
      <w:r w:rsidR="009D4548" w:rsidRPr="00E41145">
        <w:rPr>
          <w:sz w:val="22"/>
          <w:szCs w:val="22"/>
          <w:lang w:val="ru-RU" w:eastAsia="ro-MD"/>
        </w:rPr>
        <w:t>и расчёт взвешенных по риску сумм подверженностей и сумм ожидаемых убытков в соответствии с подходом IRB</w:t>
      </w:r>
      <w:r w:rsidR="00E41145" w:rsidRPr="00E41145">
        <w:rPr>
          <w:sz w:val="22"/>
          <w:szCs w:val="22"/>
          <w:lang w:val="ru-RU" w:eastAsia="ro-MD"/>
        </w:rPr>
        <w:t>»</w:t>
      </w:r>
      <w:r w:rsidR="007E133D" w:rsidRPr="00E41145">
        <w:rPr>
          <w:color w:val="000000" w:themeColor="text1"/>
          <w:sz w:val="22"/>
          <w:szCs w:val="22"/>
          <w:lang w:val="ru-RU"/>
        </w:rPr>
        <w:t>;</w:t>
      </w:r>
    </w:p>
    <w:p w14:paraId="585DDF90" w14:textId="034F049E" w:rsidR="007E133D" w:rsidRPr="00884D1F" w:rsidRDefault="00E41145" w:rsidP="00FE32A6">
      <w:pPr>
        <w:pStyle w:val="ListParagraph"/>
        <w:numPr>
          <w:ilvl w:val="2"/>
          <w:numId w:val="27"/>
        </w:numPr>
        <w:tabs>
          <w:tab w:val="left" w:pos="567"/>
        </w:tabs>
        <w:ind w:left="0" w:firstLine="567"/>
        <w:jc w:val="both"/>
        <w:rPr>
          <w:color w:val="000000" w:themeColor="text1"/>
          <w:sz w:val="22"/>
          <w:szCs w:val="22"/>
          <w:lang w:val="ro-MD"/>
        </w:rPr>
      </w:pPr>
      <w:r>
        <w:rPr>
          <w:color w:val="000000" w:themeColor="text1"/>
          <w:sz w:val="22"/>
          <w:szCs w:val="22"/>
          <w:lang w:val="ru-RU"/>
        </w:rPr>
        <w:t xml:space="preserve">текст «и </w:t>
      </w:r>
      <w:r w:rsidR="004D47EB" w:rsidRPr="00884D1F">
        <w:rPr>
          <w:color w:val="000000" w:themeColor="text1"/>
          <w:sz w:val="22"/>
          <w:szCs w:val="22"/>
          <w:lang w:val="ro-MD"/>
        </w:rPr>
        <w:t>VI</w:t>
      </w:r>
      <w:r>
        <w:rPr>
          <w:color w:val="000000" w:themeColor="text1"/>
          <w:sz w:val="22"/>
          <w:szCs w:val="22"/>
          <w:lang w:val="ru-RU"/>
        </w:rPr>
        <w:t>» исключить</w:t>
      </w:r>
      <w:r w:rsidR="007E133D" w:rsidRPr="00884D1F">
        <w:rPr>
          <w:color w:val="000000" w:themeColor="text1"/>
          <w:sz w:val="22"/>
          <w:szCs w:val="22"/>
          <w:lang w:val="ro-MD"/>
        </w:rPr>
        <w:t>;</w:t>
      </w:r>
    </w:p>
    <w:p w14:paraId="58503B1A" w14:textId="6787D69E" w:rsidR="003A1338" w:rsidRPr="00EE1FF1" w:rsidRDefault="00627A3F" w:rsidP="00DD1675">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EE1FF1">
        <w:rPr>
          <w:color w:val="000000" w:themeColor="text1"/>
          <w:sz w:val="22"/>
          <w:szCs w:val="22"/>
          <w:lang w:val="ru-RU"/>
        </w:rPr>
        <w:t xml:space="preserve">В </w:t>
      </w:r>
      <w:r w:rsidR="00EE1FF1" w:rsidRPr="00EE1FF1">
        <w:rPr>
          <w:color w:val="000000" w:themeColor="text1"/>
          <w:sz w:val="22"/>
          <w:szCs w:val="22"/>
          <w:lang w:val="ru-RU"/>
        </w:rPr>
        <w:t>пунктах 9</w:t>
      </w:r>
      <w:r w:rsidR="00555117" w:rsidRPr="00EE1FF1">
        <w:rPr>
          <w:color w:val="000000" w:themeColor="text1"/>
          <w:sz w:val="22"/>
          <w:szCs w:val="22"/>
          <w:lang w:val="ru-RU"/>
        </w:rPr>
        <w:t xml:space="preserve"> </w:t>
      </w:r>
      <w:r w:rsidRPr="00EE1FF1">
        <w:rPr>
          <w:color w:val="000000" w:themeColor="text1"/>
          <w:sz w:val="22"/>
          <w:szCs w:val="22"/>
          <w:lang w:val="ru-RU"/>
        </w:rPr>
        <w:t>и</w:t>
      </w:r>
      <w:r w:rsidR="00555117" w:rsidRPr="00EE1FF1">
        <w:rPr>
          <w:color w:val="000000" w:themeColor="text1"/>
          <w:sz w:val="22"/>
          <w:szCs w:val="22"/>
          <w:lang w:val="ru-RU"/>
        </w:rPr>
        <w:t xml:space="preserve"> 10</w:t>
      </w:r>
      <w:r w:rsidRPr="00EE1FF1">
        <w:rPr>
          <w:color w:val="000000" w:themeColor="text1"/>
          <w:sz w:val="22"/>
          <w:szCs w:val="22"/>
          <w:lang w:val="ru-RU"/>
        </w:rPr>
        <w:t xml:space="preserve"> после слов «</w:t>
      </w:r>
      <w:r w:rsidRPr="00EE1FF1">
        <w:rPr>
          <w:sz w:val="22"/>
          <w:szCs w:val="22"/>
          <w:lang w:val="ru-RU" w:eastAsia="ro-MD"/>
        </w:rPr>
        <w:t>В случае, если банк» дополнить текстом «</w:t>
      </w:r>
      <w:r w:rsidR="00274FFD" w:rsidRPr="00EE1FF1">
        <w:rPr>
          <w:color w:val="000000" w:themeColor="text1"/>
          <w:sz w:val="22"/>
          <w:szCs w:val="22"/>
          <w:lang w:val="ru-RU"/>
        </w:rPr>
        <w:t>,</w:t>
      </w:r>
      <w:r w:rsidR="00A40A05" w:rsidRPr="00EE1FF1">
        <w:rPr>
          <w:color w:val="000000" w:themeColor="text1"/>
          <w:sz w:val="22"/>
          <w:szCs w:val="22"/>
          <w:lang w:val="ru-RU"/>
        </w:rPr>
        <w:t xml:space="preserve"> </w:t>
      </w:r>
      <w:r w:rsidR="00EE1FF1" w:rsidRPr="00EE1FF1">
        <w:rPr>
          <w:color w:val="000000" w:themeColor="text1"/>
          <w:sz w:val="22"/>
          <w:szCs w:val="22"/>
          <w:lang w:val="ru-RU"/>
        </w:rPr>
        <w:t>который рассчитывает взвешенные по риску суммы подверженностей в соответствии со стандартизированным подходом</w:t>
      </w:r>
      <w:r w:rsidR="00555117" w:rsidRPr="00EE1FF1">
        <w:rPr>
          <w:color w:val="000000" w:themeColor="text1"/>
          <w:sz w:val="22"/>
          <w:szCs w:val="22"/>
          <w:lang w:val="ru-RU"/>
        </w:rPr>
        <w:t>,</w:t>
      </w:r>
      <w:r w:rsidR="00EE1FF1" w:rsidRPr="00EE1FF1">
        <w:rPr>
          <w:color w:val="000000" w:themeColor="text1"/>
          <w:sz w:val="22"/>
          <w:szCs w:val="22"/>
          <w:lang w:val="ru-RU"/>
        </w:rPr>
        <w:t>»</w:t>
      </w:r>
      <w:r w:rsidR="006E3480" w:rsidRPr="00EE1FF1">
        <w:rPr>
          <w:color w:val="000000" w:themeColor="text1"/>
          <w:sz w:val="22"/>
          <w:szCs w:val="22"/>
          <w:lang w:val="ru-RU"/>
        </w:rPr>
        <w:t>.</w:t>
      </w:r>
      <w:bookmarkStart w:id="4" w:name="_Hlk78366134"/>
    </w:p>
    <w:p w14:paraId="0BD0089F" w14:textId="61414EAD" w:rsidR="008C1C06" w:rsidRPr="00884D1F" w:rsidRDefault="00EE1FF1"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 xml:space="preserve">Дополнить пунктом </w:t>
      </w:r>
      <w:r w:rsidR="00576F53" w:rsidRPr="00884D1F">
        <w:rPr>
          <w:color w:val="000000" w:themeColor="text1"/>
          <w:sz w:val="22"/>
          <w:szCs w:val="22"/>
          <w:lang w:val="ro-MD"/>
        </w:rPr>
        <w:t>10</w:t>
      </w:r>
      <w:r w:rsidR="008C1C06" w:rsidRPr="00884D1F">
        <w:rPr>
          <w:color w:val="000000" w:themeColor="text1"/>
          <w:sz w:val="22"/>
          <w:szCs w:val="22"/>
          <w:vertAlign w:val="superscript"/>
          <w:lang w:val="ro-MD"/>
        </w:rPr>
        <w:t>1</w:t>
      </w:r>
      <w:r w:rsidR="008C1C06" w:rsidRPr="00884D1F">
        <w:rPr>
          <w:color w:val="000000" w:themeColor="text1"/>
          <w:sz w:val="22"/>
          <w:szCs w:val="22"/>
          <w:lang w:val="ro-MD"/>
        </w:rPr>
        <w:t xml:space="preserve"> </w:t>
      </w:r>
      <w:r>
        <w:rPr>
          <w:color w:val="000000" w:themeColor="text1"/>
          <w:sz w:val="22"/>
          <w:szCs w:val="22"/>
          <w:lang w:val="ru-RU"/>
        </w:rPr>
        <w:t>следующего содержания</w:t>
      </w:r>
      <w:r w:rsidR="008C1C06" w:rsidRPr="00884D1F">
        <w:rPr>
          <w:color w:val="000000" w:themeColor="text1"/>
          <w:sz w:val="22"/>
          <w:szCs w:val="22"/>
          <w:lang w:val="ro-MD"/>
        </w:rPr>
        <w:t>:</w:t>
      </w:r>
      <w:r w:rsidR="008C1C06" w:rsidRPr="00EE1FF1">
        <w:rPr>
          <w:color w:val="000000" w:themeColor="text1"/>
          <w:sz w:val="22"/>
          <w:szCs w:val="22"/>
          <w:lang w:val="ru-RU"/>
        </w:rPr>
        <w:t xml:space="preserve"> </w:t>
      </w:r>
    </w:p>
    <w:p w14:paraId="41C8CB91" w14:textId="713B9530" w:rsidR="008C1C06" w:rsidRPr="00411313" w:rsidRDefault="00EE1FF1" w:rsidP="00674AD3">
      <w:pPr>
        <w:tabs>
          <w:tab w:val="left" w:pos="567"/>
        </w:tabs>
        <w:jc w:val="both"/>
        <w:rPr>
          <w:color w:val="000000" w:themeColor="text1"/>
          <w:sz w:val="22"/>
          <w:szCs w:val="22"/>
          <w:lang w:val="ru-MD"/>
        </w:rPr>
      </w:pPr>
      <w:r w:rsidRPr="00411313">
        <w:rPr>
          <w:b/>
          <w:bCs/>
          <w:color w:val="000000" w:themeColor="text1"/>
          <w:sz w:val="22"/>
          <w:szCs w:val="22"/>
          <w:lang w:val="ru-MD"/>
        </w:rPr>
        <w:t>«</w:t>
      </w:r>
      <w:r w:rsidR="00576F53" w:rsidRPr="00411313">
        <w:rPr>
          <w:b/>
          <w:bCs/>
          <w:color w:val="000000" w:themeColor="text1"/>
          <w:sz w:val="22"/>
          <w:szCs w:val="22"/>
          <w:lang w:val="ru-MD"/>
        </w:rPr>
        <w:t>10</w:t>
      </w:r>
      <w:r w:rsidR="008C1C06" w:rsidRPr="00411313">
        <w:rPr>
          <w:b/>
          <w:bCs/>
          <w:color w:val="000000" w:themeColor="text1"/>
          <w:sz w:val="22"/>
          <w:szCs w:val="22"/>
          <w:vertAlign w:val="superscript"/>
          <w:lang w:val="ru-MD"/>
        </w:rPr>
        <w:t>1</w:t>
      </w:r>
      <w:r w:rsidR="008C1C06" w:rsidRPr="00411313">
        <w:rPr>
          <w:b/>
          <w:bCs/>
          <w:color w:val="000000" w:themeColor="text1"/>
          <w:sz w:val="22"/>
          <w:szCs w:val="22"/>
          <w:lang w:val="ru-MD"/>
        </w:rPr>
        <w:t>.</w:t>
      </w:r>
      <w:r w:rsidR="008C1C06" w:rsidRPr="00411313">
        <w:rPr>
          <w:color w:val="000000" w:themeColor="text1"/>
          <w:sz w:val="22"/>
          <w:szCs w:val="22"/>
          <w:lang w:val="ru-MD"/>
        </w:rPr>
        <w:t xml:space="preserve"> </w:t>
      </w:r>
      <w:r w:rsidR="00411313" w:rsidRPr="00411313">
        <w:rPr>
          <w:color w:val="000000" w:themeColor="text1"/>
          <w:sz w:val="22"/>
          <w:szCs w:val="22"/>
          <w:lang w:val="ru-MD" w:eastAsia="ro-MD"/>
        </w:rPr>
        <w:t>Реальные гарантии, отвечающие всем критериям приемлемости, предусмотренным настоящим регламентом, могут быть признаны даже в случае подверженностей, связанных с неиспользованными кредитными линиями, если использование кредитной линии обусловлено приобретением или получением, заранее или одновременно, обеспечения в размере доли банка в обеспечении после использования кредитной линии, так что банк не имеет никаких прав на обеспечение до тех пор, пока кредитная линия не будет использована</w:t>
      </w:r>
      <w:r w:rsidR="008C1C06" w:rsidRPr="00411313">
        <w:rPr>
          <w:color w:val="000000" w:themeColor="text1"/>
          <w:sz w:val="22"/>
          <w:szCs w:val="22"/>
          <w:lang w:val="ru-MD"/>
        </w:rPr>
        <w:t>.</w:t>
      </w:r>
      <w:r w:rsidR="00411313" w:rsidRPr="00411313">
        <w:rPr>
          <w:color w:val="000000" w:themeColor="text1"/>
          <w:sz w:val="22"/>
          <w:szCs w:val="22"/>
          <w:lang w:val="ru-MD"/>
        </w:rPr>
        <w:t>»</w:t>
      </w:r>
      <w:r w:rsidR="008C1C06" w:rsidRPr="00411313">
        <w:rPr>
          <w:color w:val="000000" w:themeColor="text1"/>
          <w:sz w:val="22"/>
          <w:szCs w:val="22"/>
          <w:lang w:val="ru-MD"/>
        </w:rPr>
        <w:t>.</w:t>
      </w:r>
    </w:p>
    <w:p w14:paraId="2DD99FF3" w14:textId="0DF803EE" w:rsidR="00897421" w:rsidRPr="00AB4162" w:rsidRDefault="00411313" w:rsidP="00DD1675">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AB4162">
        <w:rPr>
          <w:color w:val="000000" w:themeColor="text1"/>
          <w:sz w:val="22"/>
          <w:szCs w:val="22"/>
          <w:lang w:val="ru-RU"/>
        </w:rPr>
        <w:t xml:space="preserve">В </w:t>
      </w:r>
      <w:r w:rsidR="00AB4162" w:rsidRPr="00AB4162">
        <w:rPr>
          <w:color w:val="000000" w:themeColor="text1"/>
          <w:sz w:val="22"/>
          <w:szCs w:val="22"/>
          <w:lang w:val="ru-RU"/>
        </w:rPr>
        <w:t>пункте 12</w:t>
      </w:r>
      <w:r w:rsidRPr="00AB4162">
        <w:rPr>
          <w:color w:val="000000" w:themeColor="text1"/>
          <w:sz w:val="22"/>
          <w:szCs w:val="22"/>
          <w:lang w:val="ru-RU"/>
        </w:rPr>
        <w:t xml:space="preserve"> текст «</w:t>
      </w:r>
      <w:r w:rsidR="00BE07D6" w:rsidRPr="00AB4162">
        <w:rPr>
          <w:sz w:val="22"/>
          <w:szCs w:val="22"/>
          <w:lang w:val="ru-RU" w:eastAsia="ro-MD"/>
        </w:rPr>
        <w:t>письменное и обоснованное независимое юридическое мнение» заменить текстом «</w:t>
      </w:r>
      <w:r w:rsidR="00AB4162" w:rsidRPr="00AB4162">
        <w:rPr>
          <w:sz w:val="22"/>
          <w:szCs w:val="22"/>
          <w:lang w:val="ru-RU" w:eastAsia="ro-MD"/>
        </w:rPr>
        <w:t>последнюю версию независимого юридического заключения, составленного в письменной форме и подкрепленного обоснованием, используемого банком»</w:t>
      </w:r>
      <w:r w:rsidR="00CA7601" w:rsidRPr="00AB4162">
        <w:rPr>
          <w:color w:val="000000" w:themeColor="text1"/>
          <w:sz w:val="22"/>
          <w:szCs w:val="22"/>
          <w:lang w:val="ru-RU"/>
        </w:rPr>
        <w:t>.</w:t>
      </w:r>
    </w:p>
    <w:p w14:paraId="762FF493" w14:textId="56FAC9A3" w:rsidR="00CA7601" w:rsidRPr="00187AAC" w:rsidRDefault="00C27C81" w:rsidP="00187AAC">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sidRPr="00187AAC">
        <w:rPr>
          <w:color w:val="000000" w:themeColor="text1"/>
          <w:sz w:val="22"/>
          <w:szCs w:val="22"/>
          <w:lang w:val="ru-RU"/>
        </w:rPr>
        <w:t xml:space="preserve">В пункте </w:t>
      </w:r>
      <w:r w:rsidR="00B909B3" w:rsidRPr="00187AAC">
        <w:rPr>
          <w:color w:val="000000" w:themeColor="text1"/>
          <w:sz w:val="22"/>
          <w:szCs w:val="22"/>
          <w:lang w:val="ro-MD"/>
        </w:rPr>
        <w:t>14</w:t>
      </w:r>
      <w:r w:rsidR="00581ABE" w:rsidRPr="00187AAC">
        <w:rPr>
          <w:color w:val="000000" w:themeColor="text1"/>
          <w:sz w:val="22"/>
          <w:szCs w:val="22"/>
          <w:lang w:val="ro-MD"/>
        </w:rPr>
        <w:t xml:space="preserve"> </w:t>
      </w:r>
      <w:r w:rsidRPr="00187AAC">
        <w:rPr>
          <w:color w:val="000000" w:themeColor="text1"/>
          <w:sz w:val="22"/>
          <w:szCs w:val="22"/>
          <w:lang w:val="ru-RU"/>
        </w:rPr>
        <w:t>подпункт</w:t>
      </w:r>
      <w:r w:rsidR="00581ABE" w:rsidRPr="00187AAC">
        <w:rPr>
          <w:color w:val="000000" w:themeColor="text1"/>
          <w:sz w:val="22"/>
          <w:szCs w:val="22"/>
          <w:lang w:val="ro-MD"/>
        </w:rPr>
        <w:t xml:space="preserve"> </w:t>
      </w:r>
      <w:r w:rsidR="00B909B3" w:rsidRPr="00187AAC">
        <w:rPr>
          <w:color w:val="000000" w:themeColor="text1"/>
          <w:sz w:val="22"/>
          <w:szCs w:val="22"/>
          <w:lang w:val="ro-MD"/>
        </w:rPr>
        <w:t>2</w:t>
      </w:r>
      <w:r w:rsidR="00187AAC" w:rsidRPr="00187AAC">
        <w:rPr>
          <w:color w:val="000000" w:themeColor="text1"/>
          <w:sz w:val="22"/>
          <w:szCs w:val="22"/>
          <w:lang w:val="ro-MD"/>
        </w:rPr>
        <w:t>)</w:t>
      </w:r>
      <w:r w:rsidR="00187AAC" w:rsidRPr="00187AAC">
        <w:rPr>
          <w:color w:val="000000" w:themeColor="text1"/>
          <w:sz w:val="22"/>
          <w:szCs w:val="22"/>
          <w:lang w:val="ru-RU"/>
        </w:rPr>
        <w:t xml:space="preserve"> текст</w:t>
      </w:r>
      <w:r w:rsidR="009E768B" w:rsidRPr="00187AAC">
        <w:rPr>
          <w:color w:val="000000" w:themeColor="text1"/>
          <w:sz w:val="22"/>
          <w:szCs w:val="22"/>
          <w:lang w:val="ru-RU"/>
        </w:rPr>
        <w:t xml:space="preserve"> «</w:t>
      </w:r>
      <w:r w:rsidR="009E768B" w:rsidRPr="00187AAC">
        <w:rPr>
          <w:sz w:val="22"/>
          <w:szCs w:val="22"/>
          <w:lang w:val="ru-RU" w:eastAsia="ro-MD"/>
        </w:rPr>
        <w:t xml:space="preserve">по защите кредита, учитывая» </w:t>
      </w:r>
      <w:r w:rsidR="005513D3" w:rsidRPr="00187AAC">
        <w:rPr>
          <w:sz w:val="22"/>
          <w:szCs w:val="22"/>
          <w:lang w:val="ru-RU" w:eastAsia="ro-MD"/>
        </w:rPr>
        <w:t>и в пункте</w:t>
      </w:r>
      <w:r w:rsidR="005513D3" w:rsidRPr="00187AAC">
        <w:rPr>
          <w:color w:val="000000" w:themeColor="text1"/>
          <w:sz w:val="22"/>
          <w:szCs w:val="22"/>
          <w:lang w:val="ru-RU"/>
        </w:rPr>
        <w:t xml:space="preserve"> </w:t>
      </w:r>
      <w:r w:rsidR="005513D3" w:rsidRPr="00187AAC">
        <w:rPr>
          <w:color w:val="000000" w:themeColor="text1"/>
          <w:sz w:val="22"/>
          <w:szCs w:val="22"/>
          <w:lang w:val="ro-MD"/>
        </w:rPr>
        <w:t xml:space="preserve">17 </w:t>
      </w:r>
      <w:r w:rsidR="005513D3" w:rsidRPr="00187AAC">
        <w:rPr>
          <w:color w:val="000000" w:themeColor="text1"/>
          <w:sz w:val="22"/>
          <w:szCs w:val="22"/>
          <w:lang w:val="ru-RU"/>
        </w:rPr>
        <w:t xml:space="preserve">подпункт </w:t>
      </w:r>
      <w:r w:rsidR="005513D3" w:rsidRPr="00187AAC">
        <w:rPr>
          <w:color w:val="000000" w:themeColor="text1"/>
          <w:sz w:val="22"/>
          <w:szCs w:val="22"/>
          <w:lang w:val="ro-MD"/>
        </w:rPr>
        <w:t>2)</w:t>
      </w:r>
      <w:r w:rsidR="005513D3" w:rsidRPr="00187AAC">
        <w:rPr>
          <w:color w:val="000000" w:themeColor="text1"/>
          <w:sz w:val="22"/>
          <w:szCs w:val="22"/>
          <w:lang w:val="ru-RU"/>
        </w:rPr>
        <w:t xml:space="preserve"> текст «</w:t>
      </w:r>
      <w:r w:rsidR="005513D3" w:rsidRPr="00187AAC">
        <w:rPr>
          <w:sz w:val="22"/>
          <w:szCs w:val="22"/>
          <w:lang w:val="ru-RU" w:eastAsia="ro-MD"/>
        </w:rPr>
        <w:t xml:space="preserve">защиты кредита, учитывая» </w:t>
      </w:r>
      <w:r w:rsidR="009E768B" w:rsidRPr="00187AAC">
        <w:rPr>
          <w:sz w:val="22"/>
          <w:szCs w:val="22"/>
          <w:lang w:val="ru-RU" w:eastAsia="ro-MD"/>
        </w:rPr>
        <w:t>заменить текстом</w:t>
      </w:r>
      <w:r w:rsidR="00CA55C7" w:rsidRPr="00187AAC">
        <w:rPr>
          <w:sz w:val="22"/>
          <w:szCs w:val="22"/>
          <w:lang w:val="ru-RU" w:eastAsia="ro-MD"/>
        </w:rPr>
        <w:t xml:space="preserve"> «подход, </w:t>
      </w:r>
      <w:r w:rsidR="008F44A5" w:rsidRPr="00187AAC">
        <w:rPr>
          <w:sz w:val="22"/>
          <w:szCs w:val="22"/>
          <w:lang w:val="ru-RU" w:eastAsia="ro-MD"/>
        </w:rPr>
        <w:t>используемый для расчета взвешенных по риску сумм подверженностей и»</w:t>
      </w:r>
      <w:r w:rsidR="00346B11" w:rsidRPr="00187AAC">
        <w:rPr>
          <w:color w:val="000000" w:themeColor="text1"/>
          <w:sz w:val="22"/>
          <w:szCs w:val="22"/>
          <w:lang w:val="ro-MD"/>
        </w:rPr>
        <w:t>.</w:t>
      </w:r>
    </w:p>
    <w:p w14:paraId="13F6E53E" w14:textId="092CE7AD" w:rsidR="00517E95" w:rsidRPr="009B4CB5" w:rsidRDefault="00187AAC" w:rsidP="00DD1675">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9B4CB5">
        <w:rPr>
          <w:color w:val="000000" w:themeColor="text1"/>
          <w:sz w:val="22"/>
          <w:szCs w:val="22"/>
          <w:lang w:val="ru-RU"/>
        </w:rPr>
        <w:t>В пункте</w:t>
      </w:r>
      <w:r w:rsidR="006D4F30" w:rsidRPr="009B4CB5">
        <w:rPr>
          <w:color w:val="000000" w:themeColor="text1"/>
          <w:sz w:val="22"/>
          <w:szCs w:val="22"/>
          <w:lang w:val="ru-RU"/>
        </w:rPr>
        <w:t xml:space="preserve"> </w:t>
      </w:r>
      <w:r w:rsidR="00CD39CC" w:rsidRPr="009B4CB5">
        <w:rPr>
          <w:color w:val="000000" w:themeColor="text1"/>
          <w:sz w:val="22"/>
          <w:szCs w:val="22"/>
          <w:lang w:val="ru-RU"/>
        </w:rPr>
        <w:t>19</w:t>
      </w:r>
      <w:r w:rsidRPr="009B4CB5">
        <w:rPr>
          <w:color w:val="000000" w:themeColor="text1"/>
          <w:sz w:val="22"/>
          <w:szCs w:val="22"/>
          <w:lang w:val="ru-RU"/>
        </w:rPr>
        <w:t xml:space="preserve"> слова «Банк должен располагать» заменить словами «</w:t>
      </w:r>
      <w:r w:rsidR="00CF5A4D" w:rsidRPr="009B4CB5">
        <w:rPr>
          <w:color w:val="000000" w:themeColor="text1"/>
          <w:sz w:val="22"/>
          <w:szCs w:val="22"/>
          <w:lang w:val="ru-RU"/>
        </w:rPr>
        <w:t>Банк должен быть в состоянии доказать Национальному банку Молдовы, что он располагает»</w:t>
      </w:r>
      <w:r w:rsidR="006D4F30" w:rsidRPr="009B4CB5">
        <w:rPr>
          <w:color w:val="000000" w:themeColor="text1"/>
          <w:sz w:val="22"/>
          <w:szCs w:val="22"/>
          <w:lang w:val="ru-RU"/>
        </w:rPr>
        <w:t>.</w:t>
      </w:r>
    </w:p>
    <w:p w14:paraId="05726DF5" w14:textId="69237002" w:rsidR="0000731F" w:rsidRPr="009B4CB5" w:rsidRDefault="00CF5A4D" w:rsidP="006D4F30">
      <w:pPr>
        <w:pStyle w:val="ListParagraph"/>
        <w:numPr>
          <w:ilvl w:val="1"/>
          <w:numId w:val="27"/>
        </w:numPr>
        <w:tabs>
          <w:tab w:val="left" w:pos="567"/>
        </w:tabs>
        <w:ind w:left="0" w:firstLine="567"/>
        <w:jc w:val="both"/>
        <w:rPr>
          <w:color w:val="000000" w:themeColor="text1"/>
          <w:sz w:val="22"/>
          <w:szCs w:val="22"/>
          <w:lang w:val="ru-RU"/>
        </w:rPr>
      </w:pPr>
      <w:r w:rsidRPr="009B4CB5">
        <w:rPr>
          <w:color w:val="000000" w:themeColor="text1"/>
          <w:sz w:val="22"/>
          <w:szCs w:val="22"/>
          <w:lang w:val="ru-RU"/>
        </w:rPr>
        <w:t xml:space="preserve">В пункте </w:t>
      </w:r>
      <w:r w:rsidR="00B84B9B" w:rsidRPr="009B4CB5">
        <w:rPr>
          <w:color w:val="000000" w:themeColor="text1"/>
          <w:sz w:val="22"/>
          <w:szCs w:val="22"/>
          <w:lang w:val="ru-RU"/>
        </w:rPr>
        <w:t>20</w:t>
      </w:r>
      <w:r w:rsidRPr="009B4CB5">
        <w:rPr>
          <w:color w:val="000000" w:themeColor="text1"/>
          <w:sz w:val="22"/>
          <w:szCs w:val="22"/>
          <w:lang w:val="ru-RU"/>
        </w:rPr>
        <w:t xml:space="preserve"> после текста «</w:t>
      </w:r>
      <w:r w:rsidR="00814F8A" w:rsidRPr="009B4CB5">
        <w:rPr>
          <w:sz w:val="22"/>
          <w:szCs w:val="22"/>
          <w:lang w:val="ru-RU" w:eastAsia="ro-MD"/>
        </w:rPr>
        <w:t>расчета стоимости подверженностей с учетом риска» дополнить текстом «и, в зависимости от обстоятельств,</w:t>
      </w:r>
      <w:r w:rsidR="009B4CB5" w:rsidRPr="009B4CB5">
        <w:rPr>
          <w:sz w:val="22"/>
          <w:szCs w:val="22"/>
          <w:lang w:val="ru-RU" w:eastAsia="ro-MD"/>
        </w:rPr>
        <w:t xml:space="preserve"> суммы ожидаемых убытков,»</w:t>
      </w:r>
      <w:r w:rsidR="0093744B" w:rsidRPr="009B4CB5">
        <w:rPr>
          <w:color w:val="000000" w:themeColor="text1"/>
          <w:sz w:val="22"/>
          <w:szCs w:val="22"/>
          <w:lang w:val="ru-RU"/>
        </w:rPr>
        <w:t>.</w:t>
      </w:r>
    </w:p>
    <w:p w14:paraId="3F86372B" w14:textId="511C3962" w:rsidR="000340B6" w:rsidRPr="00884D1F" w:rsidRDefault="002F12B7" w:rsidP="006D4F30">
      <w:pPr>
        <w:pStyle w:val="ListParagraph"/>
        <w:numPr>
          <w:ilvl w:val="1"/>
          <w:numId w:val="27"/>
        </w:numPr>
        <w:tabs>
          <w:tab w:val="left" w:pos="567"/>
        </w:tabs>
        <w:ind w:left="0" w:firstLine="567"/>
        <w:jc w:val="both"/>
        <w:rPr>
          <w:color w:val="000000" w:themeColor="text1"/>
          <w:sz w:val="22"/>
          <w:szCs w:val="22"/>
          <w:lang w:val="ro-MD"/>
        </w:rPr>
      </w:pPr>
      <w:r>
        <w:rPr>
          <w:color w:val="000000" w:themeColor="text1"/>
          <w:sz w:val="22"/>
          <w:szCs w:val="22"/>
          <w:lang w:val="ru-RU"/>
        </w:rPr>
        <w:t xml:space="preserve">В пункте </w:t>
      </w:r>
      <w:r w:rsidR="0079362A" w:rsidRPr="00884D1F">
        <w:rPr>
          <w:color w:val="000000" w:themeColor="text1"/>
          <w:sz w:val="22"/>
          <w:szCs w:val="22"/>
          <w:lang w:val="ro-MD"/>
        </w:rPr>
        <w:t>22</w:t>
      </w:r>
      <w:r w:rsidR="000340B6" w:rsidRPr="00884D1F">
        <w:rPr>
          <w:color w:val="000000" w:themeColor="text1"/>
          <w:sz w:val="22"/>
          <w:szCs w:val="22"/>
          <w:lang w:val="ro-MD"/>
        </w:rPr>
        <w:t>:</w:t>
      </w:r>
    </w:p>
    <w:p w14:paraId="2CA43CC8" w14:textId="77777777" w:rsidR="00046E44" w:rsidRPr="00046E44" w:rsidRDefault="002F12B7" w:rsidP="00046E44">
      <w:pPr>
        <w:pStyle w:val="ListParagraph"/>
        <w:numPr>
          <w:ilvl w:val="2"/>
          <w:numId w:val="27"/>
        </w:numPr>
        <w:tabs>
          <w:tab w:val="left" w:pos="567"/>
        </w:tabs>
        <w:ind w:left="0" w:firstLine="567"/>
        <w:jc w:val="both"/>
        <w:rPr>
          <w:color w:val="000000" w:themeColor="text1"/>
          <w:sz w:val="22"/>
          <w:szCs w:val="22"/>
          <w:lang w:val="ru-RU"/>
        </w:rPr>
      </w:pPr>
      <w:r w:rsidRPr="00F6106B">
        <w:rPr>
          <w:color w:val="000000" w:themeColor="text1"/>
          <w:sz w:val="22"/>
          <w:szCs w:val="22"/>
          <w:lang w:val="ru-RU"/>
        </w:rPr>
        <w:t>слова «</w:t>
      </w:r>
      <w:r w:rsidRPr="00F6106B">
        <w:rPr>
          <w:sz w:val="22"/>
          <w:szCs w:val="22"/>
          <w:lang w:val="ru-RU" w:eastAsia="ro-MD"/>
        </w:rPr>
        <w:t>между банком и контрагентом обеспеченной подверженности» заменить словами «</w:t>
      </w:r>
      <w:r w:rsidR="00B705E1" w:rsidRPr="00F6106B">
        <w:rPr>
          <w:sz w:val="22"/>
          <w:szCs w:val="22"/>
          <w:lang w:val="ru-RU" w:eastAsia="ro-MD"/>
        </w:rPr>
        <w:t>банка и контрагента»</w:t>
      </w:r>
      <w:r w:rsidR="00FC5659" w:rsidRPr="00F6106B">
        <w:rPr>
          <w:color w:val="000000" w:themeColor="text1"/>
          <w:sz w:val="22"/>
          <w:szCs w:val="22"/>
          <w:lang w:val="ru-RU"/>
        </w:rPr>
        <w:t>;</w:t>
      </w:r>
    </w:p>
    <w:p w14:paraId="217A284E" w14:textId="0E4CA009" w:rsidR="00B705E1" w:rsidRPr="00046E44" w:rsidRDefault="00B705E1" w:rsidP="00046E44">
      <w:pPr>
        <w:pStyle w:val="ListParagraph"/>
        <w:numPr>
          <w:ilvl w:val="2"/>
          <w:numId w:val="27"/>
        </w:numPr>
        <w:tabs>
          <w:tab w:val="left" w:pos="567"/>
        </w:tabs>
        <w:ind w:left="0" w:firstLine="567"/>
        <w:jc w:val="both"/>
        <w:rPr>
          <w:color w:val="000000" w:themeColor="text1"/>
          <w:sz w:val="22"/>
          <w:szCs w:val="22"/>
          <w:lang w:val="ru-RU"/>
        </w:rPr>
      </w:pPr>
      <w:r w:rsidRPr="00046E44">
        <w:rPr>
          <w:color w:val="000000" w:themeColor="text1"/>
          <w:sz w:val="22"/>
          <w:szCs w:val="22"/>
          <w:lang w:val="ru-RU"/>
        </w:rPr>
        <w:t>после слов «</w:t>
      </w:r>
      <w:r w:rsidRPr="00046E44">
        <w:rPr>
          <w:sz w:val="22"/>
          <w:szCs w:val="22"/>
          <w:lang w:val="ru-RU" w:eastAsia="ro-MD"/>
        </w:rPr>
        <w:t>стоимость подверженностей с учетом риска» дополнить текстом «и, в зависимости от обстоятельств, суммы ожидаемых убытков,»</w:t>
      </w:r>
      <w:r w:rsidRPr="00046E44">
        <w:rPr>
          <w:color w:val="000000" w:themeColor="text1"/>
          <w:sz w:val="22"/>
          <w:szCs w:val="22"/>
          <w:lang w:val="ru-RU"/>
        </w:rPr>
        <w:t>.</w:t>
      </w:r>
    </w:p>
    <w:p w14:paraId="58CEB034" w14:textId="4DD4FC12" w:rsidR="00841A67" w:rsidRPr="00985D5D" w:rsidRDefault="00B705E1" w:rsidP="007476D6">
      <w:pPr>
        <w:pStyle w:val="ListParagraph"/>
        <w:numPr>
          <w:ilvl w:val="1"/>
          <w:numId w:val="27"/>
        </w:numPr>
        <w:tabs>
          <w:tab w:val="left" w:pos="567"/>
        </w:tabs>
        <w:ind w:left="0" w:firstLine="567"/>
        <w:jc w:val="both"/>
        <w:rPr>
          <w:color w:val="000000" w:themeColor="text1"/>
          <w:sz w:val="22"/>
          <w:szCs w:val="22"/>
          <w:lang w:val="ro-MD"/>
        </w:rPr>
      </w:pPr>
      <w:r w:rsidRPr="00985D5D">
        <w:rPr>
          <w:sz w:val="22"/>
          <w:szCs w:val="22"/>
          <w:lang w:val="ro-MD" w:eastAsia="ro-MD"/>
        </w:rPr>
        <w:t xml:space="preserve"> </w:t>
      </w:r>
      <w:r w:rsidR="00F6106B" w:rsidRPr="00985D5D">
        <w:rPr>
          <w:sz w:val="22"/>
          <w:szCs w:val="22"/>
          <w:lang w:val="ru-RU" w:eastAsia="ro-MD"/>
        </w:rPr>
        <w:t xml:space="preserve">В пункте </w:t>
      </w:r>
      <w:r w:rsidR="008E3327" w:rsidRPr="00985D5D">
        <w:rPr>
          <w:color w:val="000000" w:themeColor="text1"/>
          <w:sz w:val="22"/>
          <w:szCs w:val="22"/>
          <w:lang w:val="ro-MD"/>
        </w:rPr>
        <w:t>23</w:t>
      </w:r>
      <w:r w:rsidR="00841A67" w:rsidRPr="00985D5D">
        <w:rPr>
          <w:color w:val="000000" w:themeColor="text1"/>
          <w:sz w:val="22"/>
          <w:szCs w:val="22"/>
          <w:lang w:val="ro-MD"/>
        </w:rPr>
        <w:t>:</w:t>
      </w:r>
    </w:p>
    <w:p w14:paraId="5DB94A83" w14:textId="4771524A" w:rsidR="00841A67" w:rsidRPr="00985D5D" w:rsidRDefault="00F6106B" w:rsidP="00841A67">
      <w:pPr>
        <w:pStyle w:val="ListParagraph"/>
        <w:numPr>
          <w:ilvl w:val="2"/>
          <w:numId w:val="27"/>
        </w:numPr>
        <w:tabs>
          <w:tab w:val="left" w:pos="567"/>
        </w:tabs>
        <w:ind w:left="0" w:firstLine="567"/>
        <w:jc w:val="both"/>
        <w:rPr>
          <w:color w:val="000000" w:themeColor="text1"/>
          <w:sz w:val="22"/>
          <w:szCs w:val="22"/>
          <w:lang w:val="ru-RU"/>
        </w:rPr>
      </w:pPr>
      <w:r w:rsidRPr="00985D5D">
        <w:rPr>
          <w:color w:val="000000" w:themeColor="text1"/>
          <w:sz w:val="22"/>
          <w:szCs w:val="22"/>
          <w:lang w:val="ru-RU"/>
        </w:rPr>
        <w:t>слова «</w:t>
      </w:r>
      <w:r w:rsidR="00985D5D" w:rsidRPr="00985D5D">
        <w:rPr>
          <w:color w:val="000000" w:themeColor="text1"/>
          <w:sz w:val="22"/>
          <w:szCs w:val="22"/>
          <w:lang w:val="ru-RU"/>
        </w:rPr>
        <w:t>с контрагентом» исключить</w:t>
      </w:r>
      <w:r w:rsidR="00841A67" w:rsidRPr="00985D5D">
        <w:rPr>
          <w:color w:val="000000" w:themeColor="text1"/>
          <w:sz w:val="22"/>
          <w:szCs w:val="22"/>
          <w:lang w:val="ru-RU"/>
        </w:rPr>
        <w:t>;</w:t>
      </w:r>
    </w:p>
    <w:p w14:paraId="6B38C5DC" w14:textId="70CA40E8" w:rsidR="00841A67" w:rsidRPr="00884D1F" w:rsidRDefault="00D42705" w:rsidP="00841A67">
      <w:pPr>
        <w:pStyle w:val="ListParagraph"/>
        <w:numPr>
          <w:ilvl w:val="2"/>
          <w:numId w:val="27"/>
        </w:numPr>
        <w:tabs>
          <w:tab w:val="left" w:pos="567"/>
        </w:tabs>
        <w:ind w:left="0" w:firstLine="567"/>
        <w:jc w:val="both"/>
        <w:rPr>
          <w:color w:val="000000" w:themeColor="text1"/>
          <w:sz w:val="22"/>
          <w:szCs w:val="22"/>
          <w:lang w:val="ro-MD"/>
        </w:rPr>
      </w:pPr>
      <w:r>
        <w:rPr>
          <w:color w:val="000000" w:themeColor="text1"/>
          <w:sz w:val="22"/>
          <w:szCs w:val="22"/>
          <w:lang w:val="ru-RU"/>
        </w:rPr>
        <w:t>после</w:t>
      </w:r>
      <w:r w:rsidRPr="00D42705">
        <w:rPr>
          <w:color w:val="000000" w:themeColor="text1"/>
          <w:sz w:val="22"/>
          <w:szCs w:val="22"/>
          <w:lang w:val="ru-RU"/>
        </w:rPr>
        <w:t xml:space="preserve"> </w:t>
      </w:r>
      <w:r>
        <w:rPr>
          <w:color w:val="000000" w:themeColor="text1"/>
          <w:sz w:val="22"/>
          <w:szCs w:val="22"/>
          <w:lang w:val="ru-RU"/>
        </w:rPr>
        <w:t>слов</w:t>
      </w:r>
      <w:r w:rsidRPr="00D42705">
        <w:rPr>
          <w:color w:val="000000" w:themeColor="text1"/>
          <w:sz w:val="22"/>
          <w:szCs w:val="22"/>
          <w:lang w:val="ru-RU"/>
        </w:rPr>
        <w:t xml:space="preserve"> «</w:t>
      </w:r>
      <w:r>
        <w:rPr>
          <w:color w:val="000000" w:themeColor="text1"/>
          <w:sz w:val="22"/>
          <w:szCs w:val="22"/>
          <w:lang w:val="ru-RU"/>
        </w:rPr>
        <w:t>балансовом</w:t>
      </w:r>
      <w:r w:rsidRPr="00D42705">
        <w:rPr>
          <w:color w:val="000000" w:themeColor="text1"/>
          <w:sz w:val="22"/>
          <w:szCs w:val="22"/>
          <w:lang w:val="ru-RU"/>
        </w:rPr>
        <w:t xml:space="preserve"> </w:t>
      </w:r>
      <w:r>
        <w:rPr>
          <w:color w:val="000000" w:themeColor="text1"/>
          <w:sz w:val="22"/>
          <w:szCs w:val="22"/>
          <w:lang w:val="ru-RU"/>
        </w:rPr>
        <w:t>зачете</w:t>
      </w:r>
      <w:r w:rsidRPr="00D42705">
        <w:rPr>
          <w:color w:val="000000" w:themeColor="text1"/>
          <w:sz w:val="22"/>
          <w:szCs w:val="22"/>
          <w:lang w:val="ru-RU"/>
        </w:rPr>
        <w:t xml:space="preserve">» </w:t>
      </w:r>
      <w:r>
        <w:rPr>
          <w:color w:val="000000" w:themeColor="text1"/>
          <w:sz w:val="22"/>
          <w:szCs w:val="22"/>
          <w:lang w:val="ru-RU"/>
        </w:rPr>
        <w:t>дополнить словами «с контрагентом»</w:t>
      </w:r>
      <w:r w:rsidR="00841A67" w:rsidRPr="00884D1F">
        <w:rPr>
          <w:color w:val="000000" w:themeColor="text1"/>
          <w:sz w:val="22"/>
          <w:szCs w:val="22"/>
          <w:lang w:val="ro-MD"/>
        </w:rPr>
        <w:t>.</w:t>
      </w:r>
    </w:p>
    <w:p w14:paraId="7EC2A591" w14:textId="7A27DC5E" w:rsidR="004C4927" w:rsidRPr="00884D1F" w:rsidRDefault="00AA3BA2" w:rsidP="00F26F58">
      <w:pPr>
        <w:pStyle w:val="ListParagraph"/>
        <w:numPr>
          <w:ilvl w:val="1"/>
          <w:numId w:val="27"/>
        </w:numPr>
        <w:ind w:left="0" w:firstLine="567"/>
        <w:jc w:val="both"/>
        <w:rPr>
          <w:color w:val="000000" w:themeColor="text1"/>
          <w:sz w:val="22"/>
          <w:szCs w:val="22"/>
          <w:lang w:val="ro-RO" w:eastAsia="ro-MD"/>
        </w:rPr>
      </w:pPr>
      <w:r>
        <w:rPr>
          <w:color w:val="000000" w:themeColor="text1"/>
          <w:sz w:val="22"/>
          <w:szCs w:val="22"/>
          <w:lang w:val="ru-RU" w:eastAsia="ro-MD"/>
        </w:rPr>
        <w:t xml:space="preserve">Пункт </w:t>
      </w:r>
      <w:r w:rsidR="00841A67" w:rsidRPr="00884D1F">
        <w:rPr>
          <w:color w:val="000000" w:themeColor="text1"/>
          <w:sz w:val="22"/>
          <w:szCs w:val="22"/>
          <w:lang w:val="ro-RO" w:eastAsia="ro-MD"/>
        </w:rPr>
        <w:t>24</w:t>
      </w:r>
      <w:r>
        <w:rPr>
          <w:color w:val="000000" w:themeColor="text1"/>
          <w:sz w:val="22"/>
          <w:szCs w:val="22"/>
          <w:lang w:val="ru-RU" w:eastAsia="ro-MD"/>
        </w:rPr>
        <w:t xml:space="preserve"> изложить в следующей редакции</w:t>
      </w:r>
      <w:r w:rsidR="00844CF7" w:rsidRPr="00884D1F">
        <w:rPr>
          <w:color w:val="000000" w:themeColor="text1"/>
          <w:sz w:val="22"/>
          <w:szCs w:val="22"/>
          <w:lang w:val="ro-RO" w:eastAsia="ro-MD"/>
        </w:rPr>
        <w:t>:</w:t>
      </w:r>
    </w:p>
    <w:p w14:paraId="7FC41841" w14:textId="15EEBFBE" w:rsidR="00844CF7" w:rsidRPr="00E000DC" w:rsidRDefault="00471F9D" w:rsidP="00844CF7">
      <w:pPr>
        <w:jc w:val="both"/>
        <w:rPr>
          <w:color w:val="000000" w:themeColor="text1"/>
          <w:sz w:val="22"/>
          <w:szCs w:val="22"/>
          <w:lang w:val="ru-RU" w:eastAsia="ro-MD"/>
        </w:rPr>
      </w:pPr>
      <w:r w:rsidRPr="00E000DC">
        <w:rPr>
          <w:color w:val="000000" w:themeColor="text1"/>
          <w:sz w:val="22"/>
          <w:szCs w:val="22"/>
          <w:lang w:val="ru-RU" w:eastAsia="ro-MD"/>
        </w:rPr>
        <w:t>«</w:t>
      </w:r>
      <w:r w:rsidR="00C11687" w:rsidRPr="00E000DC">
        <w:rPr>
          <w:color w:val="000000" w:themeColor="text1"/>
          <w:sz w:val="22"/>
          <w:szCs w:val="22"/>
          <w:lang w:val="ru-RU" w:eastAsia="ro-MD"/>
        </w:rPr>
        <w:t xml:space="preserve">Без ущерба для положений главы, касающейся элементов торгового портфеля, в Регламенте об  отношении к  кредитному риску контрагента для банков, утвержденном Постановлением Исполнительного комитета Национального банка Молдовы № 220/2025 (далее — Регламент № 220/2025), принятое </w:t>
      </w:r>
      <w:r w:rsidR="00E000DC" w:rsidRPr="00E000DC">
        <w:rPr>
          <w:color w:val="000000" w:themeColor="text1"/>
          <w:sz w:val="22"/>
          <w:szCs w:val="22"/>
          <w:lang w:val="ru-RU" w:eastAsia="ro-MD"/>
        </w:rPr>
        <w:t>реальные гарантии</w:t>
      </w:r>
      <w:r w:rsidR="00C11687" w:rsidRPr="00E000DC">
        <w:rPr>
          <w:color w:val="000000" w:themeColor="text1"/>
          <w:sz w:val="22"/>
          <w:szCs w:val="22"/>
          <w:lang w:val="ru-RU" w:eastAsia="ro-MD"/>
        </w:rPr>
        <w:t xml:space="preserve">, а также ценные бумаги или товары, </w:t>
      </w:r>
      <w:r w:rsidR="000530BD" w:rsidRPr="00E000DC">
        <w:rPr>
          <w:color w:val="000000" w:themeColor="text1"/>
          <w:sz w:val="22"/>
          <w:szCs w:val="22"/>
          <w:lang w:val="ru-RU" w:eastAsia="ro-MD"/>
        </w:rPr>
        <w:t>взятые взаймы</w:t>
      </w:r>
      <w:r w:rsidR="00C11687" w:rsidRPr="00E000DC">
        <w:rPr>
          <w:color w:val="000000" w:themeColor="text1"/>
          <w:sz w:val="22"/>
          <w:szCs w:val="22"/>
          <w:lang w:val="ru-RU" w:eastAsia="ro-MD"/>
        </w:rPr>
        <w:t xml:space="preserve"> в рамках таких соглашений или сделок, указанных в пункте 23, должны соответствовать требованиям приемлемости вещного обеспечения, предусмотренным в разделах 3 и 4 настоящей главы</w:t>
      </w:r>
      <w:r w:rsidR="001E3005" w:rsidRPr="00E000DC">
        <w:rPr>
          <w:color w:val="000000" w:themeColor="text1"/>
          <w:sz w:val="22"/>
          <w:szCs w:val="22"/>
          <w:lang w:val="ru-RU" w:eastAsia="ro-MD"/>
        </w:rPr>
        <w:t>.</w:t>
      </w:r>
      <w:r w:rsidR="00E000DC">
        <w:rPr>
          <w:color w:val="000000" w:themeColor="text1"/>
          <w:sz w:val="22"/>
          <w:szCs w:val="22"/>
          <w:lang w:val="ru-RU" w:eastAsia="ro-MD"/>
        </w:rPr>
        <w:t>»</w:t>
      </w:r>
      <w:r w:rsidR="001E3005" w:rsidRPr="00E000DC">
        <w:rPr>
          <w:color w:val="000000" w:themeColor="text1"/>
          <w:sz w:val="22"/>
          <w:szCs w:val="22"/>
          <w:lang w:val="ru-RU" w:eastAsia="ro-MD"/>
        </w:rPr>
        <w:t>.</w:t>
      </w:r>
    </w:p>
    <w:p w14:paraId="1EFE9F14" w14:textId="71CC84F4" w:rsidR="00386948" w:rsidRPr="00884D1F" w:rsidRDefault="00E000DC" w:rsidP="002B2B58">
      <w:pPr>
        <w:pStyle w:val="ListParagraph"/>
        <w:numPr>
          <w:ilvl w:val="1"/>
          <w:numId w:val="27"/>
        </w:numPr>
        <w:ind w:left="0" w:firstLine="567"/>
        <w:jc w:val="both"/>
        <w:rPr>
          <w:color w:val="000000" w:themeColor="text1"/>
          <w:sz w:val="22"/>
          <w:szCs w:val="22"/>
          <w:lang w:val="ro-RO" w:eastAsia="ro-MD"/>
        </w:rPr>
      </w:pPr>
      <w:r>
        <w:rPr>
          <w:color w:val="000000" w:themeColor="text1"/>
          <w:sz w:val="22"/>
          <w:szCs w:val="22"/>
          <w:lang w:val="ru-RU" w:eastAsia="ro-MD"/>
        </w:rPr>
        <w:t>В пункте</w:t>
      </w:r>
      <w:r w:rsidR="00386948" w:rsidRPr="00884D1F">
        <w:rPr>
          <w:color w:val="000000" w:themeColor="text1"/>
          <w:sz w:val="22"/>
          <w:szCs w:val="22"/>
          <w:lang w:val="ro-RO" w:eastAsia="ro-MD"/>
        </w:rPr>
        <w:t xml:space="preserve"> </w:t>
      </w:r>
      <w:r w:rsidR="002B2B58" w:rsidRPr="00884D1F">
        <w:rPr>
          <w:color w:val="000000" w:themeColor="text1"/>
          <w:sz w:val="22"/>
          <w:szCs w:val="22"/>
          <w:lang w:val="ro-RO" w:eastAsia="ro-MD"/>
        </w:rPr>
        <w:t>25:</w:t>
      </w:r>
    </w:p>
    <w:p w14:paraId="6E35B613" w14:textId="59FE050E" w:rsidR="002B2B58" w:rsidRPr="00884D1F" w:rsidRDefault="004F72C3" w:rsidP="002B2B58">
      <w:pPr>
        <w:pStyle w:val="ListParagraph"/>
        <w:numPr>
          <w:ilvl w:val="2"/>
          <w:numId w:val="27"/>
        </w:numPr>
        <w:ind w:left="0" w:firstLine="567"/>
        <w:jc w:val="both"/>
        <w:rPr>
          <w:color w:val="000000" w:themeColor="text1"/>
          <w:sz w:val="22"/>
          <w:szCs w:val="22"/>
          <w:lang w:val="ro-RO" w:eastAsia="ro-MD"/>
        </w:rPr>
      </w:pPr>
      <w:r>
        <w:rPr>
          <w:color w:val="000000" w:themeColor="text1"/>
          <w:sz w:val="22"/>
          <w:szCs w:val="22"/>
          <w:lang w:val="ru-RU" w:eastAsia="ro-MD"/>
        </w:rPr>
        <w:t>подпункт</w:t>
      </w:r>
      <w:r w:rsidRPr="00E000DC">
        <w:rPr>
          <w:color w:val="000000" w:themeColor="text1"/>
          <w:sz w:val="22"/>
          <w:szCs w:val="22"/>
          <w:lang w:val="ru-RU" w:eastAsia="ro-MD"/>
        </w:rPr>
        <w:t xml:space="preserve"> </w:t>
      </w:r>
      <w:r w:rsidR="002B2B58" w:rsidRPr="00884D1F">
        <w:rPr>
          <w:color w:val="000000" w:themeColor="text1"/>
          <w:sz w:val="22"/>
          <w:szCs w:val="22"/>
          <w:lang w:val="ro-RO" w:eastAsia="ro-MD"/>
        </w:rPr>
        <w:t xml:space="preserve">1) </w:t>
      </w:r>
      <w:r w:rsidR="00E000DC">
        <w:rPr>
          <w:color w:val="000000" w:themeColor="text1"/>
          <w:sz w:val="22"/>
          <w:szCs w:val="22"/>
          <w:lang w:val="ru-RU" w:eastAsia="ro-MD"/>
        </w:rPr>
        <w:t>изложить в следующей редакции</w:t>
      </w:r>
      <w:r w:rsidR="002B2B58" w:rsidRPr="00884D1F">
        <w:rPr>
          <w:color w:val="000000" w:themeColor="text1"/>
          <w:sz w:val="22"/>
          <w:szCs w:val="22"/>
          <w:lang w:val="ro-RO" w:eastAsia="ro-MD"/>
        </w:rPr>
        <w:t>:</w:t>
      </w:r>
    </w:p>
    <w:p w14:paraId="0009F513" w14:textId="0D851E0D" w:rsidR="002B2B58" w:rsidRPr="00E402C3" w:rsidRDefault="00E402C3" w:rsidP="002B2B58">
      <w:pPr>
        <w:pStyle w:val="ListParagraph"/>
        <w:ind w:left="0" w:firstLine="567"/>
        <w:jc w:val="both"/>
        <w:rPr>
          <w:color w:val="000000" w:themeColor="text1"/>
          <w:sz w:val="22"/>
          <w:szCs w:val="22"/>
          <w:lang w:val="ru-RU" w:eastAsia="ro-MD"/>
        </w:rPr>
      </w:pPr>
      <w:r w:rsidRPr="00E402C3">
        <w:rPr>
          <w:color w:val="000000" w:themeColor="text1"/>
          <w:sz w:val="22"/>
          <w:szCs w:val="22"/>
          <w:lang w:val="ru-RU" w:eastAsia="ro-MD"/>
        </w:rPr>
        <w:lastRenderedPageBreak/>
        <w:t>«денежные средства в виде депозита, открытого в банке-кредиторе, или инструменты, приравниваемые к денежным средствам, хранящиеся в данном</w:t>
      </w:r>
      <w:r w:rsidR="00363797" w:rsidRPr="007544BA">
        <w:rPr>
          <w:color w:val="000000" w:themeColor="text1"/>
          <w:sz w:val="22"/>
          <w:szCs w:val="22"/>
          <w:lang w:val="ru-RU" w:eastAsia="ro-MD"/>
        </w:rPr>
        <w:t xml:space="preserve"> банке</w:t>
      </w:r>
      <w:r w:rsidR="002B2B58" w:rsidRPr="00E402C3">
        <w:rPr>
          <w:color w:val="000000" w:themeColor="text1"/>
          <w:sz w:val="22"/>
          <w:szCs w:val="22"/>
          <w:lang w:val="ru-RU" w:eastAsia="ro-MD"/>
        </w:rPr>
        <w:t>;</w:t>
      </w:r>
      <w:r w:rsidRPr="00E402C3">
        <w:rPr>
          <w:color w:val="000000" w:themeColor="text1"/>
          <w:sz w:val="22"/>
          <w:szCs w:val="22"/>
          <w:lang w:val="ru-RU" w:eastAsia="ro-MD"/>
        </w:rPr>
        <w:t>»</w:t>
      </w:r>
      <w:r w:rsidR="002B2B58" w:rsidRPr="00E402C3">
        <w:rPr>
          <w:color w:val="000000" w:themeColor="text1"/>
          <w:sz w:val="22"/>
          <w:szCs w:val="22"/>
          <w:lang w:val="ru-RU" w:eastAsia="ro-MD"/>
        </w:rPr>
        <w:t>;</w:t>
      </w:r>
    </w:p>
    <w:p w14:paraId="6D1948AB" w14:textId="5592B53A" w:rsidR="008152E2" w:rsidRPr="00736F57" w:rsidRDefault="00E402C3" w:rsidP="008152E2">
      <w:pPr>
        <w:pStyle w:val="ListParagraph"/>
        <w:numPr>
          <w:ilvl w:val="2"/>
          <w:numId w:val="27"/>
        </w:numPr>
        <w:ind w:left="0" w:firstLine="567"/>
        <w:jc w:val="both"/>
        <w:rPr>
          <w:color w:val="000000" w:themeColor="text1"/>
          <w:sz w:val="22"/>
          <w:szCs w:val="22"/>
          <w:lang w:val="ro-RO" w:eastAsia="ro-MD"/>
        </w:rPr>
      </w:pPr>
      <w:r w:rsidRPr="00736F57">
        <w:rPr>
          <w:color w:val="000000" w:themeColor="text1"/>
          <w:sz w:val="22"/>
          <w:szCs w:val="22"/>
          <w:lang w:val="ru-RU" w:eastAsia="ro-MD"/>
        </w:rPr>
        <w:t xml:space="preserve">в подпунктах </w:t>
      </w:r>
      <w:r w:rsidR="00347314" w:rsidRPr="00736F57">
        <w:rPr>
          <w:color w:val="000000" w:themeColor="text1"/>
          <w:sz w:val="22"/>
          <w:szCs w:val="22"/>
          <w:lang w:val="ro-RO" w:eastAsia="ro-MD"/>
        </w:rPr>
        <w:t>4</w:t>
      </w:r>
      <w:r w:rsidR="008152E2" w:rsidRPr="00736F57">
        <w:rPr>
          <w:color w:val="000000" w:themeColor="text1"/>
          <w:sz w:val="22"/>
          <w:szCs w:val="22"/>
          <w:lang w:val="ro-RO" w:eastAsia="ro-MD"/>
        </w:rPr>
        <w:t>)</w:t>
      </w:r>
      <w:r w:rsidR="00347314" w:rsidRPr="00736F57">
        <w:rPr>
          <w:color w:val="000000" w:themeColor="text1"/>
          <w:sz w:val="22"/>
          <w:szCs w:val="22"/>
          <w:lang w:val="ro-RO" w:eastAsia="ro-MD"/>
        </w:rPr>
        <w:t xml:space="preserve">, 5) </w:t>
      </w:r>
      <w:r w:rsidRPr="00736F57">
        <w:rPr>
          <w:color w:val="000000" w:themeColor="text1"/>
          <w:sz w:val="22"/>
          <w:szCs w:val="22"/>
          <w:lang w:val="ru-RU" w:eastAsia="ro-MD"/>
        </w:rPr>
        <w:t>и</w:t>
      </w:r>
      <w:r w:rsidR="00347314" w:rsidRPr="00736F57">
        <w:rPr>
          <w:color w:val="000000" w:themeColor="text1"/>
          <w:sz w:val="22"/>
          <w:szCs w:val="22"/>
          <w:lang w:val="ro-RO" w:eastAsia="ro-MD"/>
        </w:rPr>
        <w:t xml:space="preserve"> 6)</w:t>
      </w:r>
      <w:r w:rsidRPr="00736F57">
        <w:rPr>
          <w:color w:val="000000" w:themeColor="text1"/>
          <w:sz w:val="22"/>
          <w:szCs w:val="22"/>
          <w:lang w:val="ru-RU" w:eastAsia="ro-MD"/>
        </w:rPr>
        <w:t xml:space="preserve"> после слов «</w:t>
      </w:r>
      <w:r w:rsidR="00CA28A1" w:rsidRPr="00736F57">
        <w:rPr>
          <w:sz w:val="22"/>
          <w:szCs w:val="22"/>
          <w:lang w:val="ru-RU" w:eastAsia="ro-MD"/>
        </w:rPr>
        <w:t>осуществленную ОВОК» дополнить текстом «</w:t>
      </w:r>
      <w:r w:rsidR="00736F57" w:rsidRPr="00736F57">
        <w:rPr>
          <w:sz w:val="22"/>
          <w:szCs w:val="22"/>
          <w:lang w:val="ru-RU" w:eastAsia="ro-MD"/>
        </w:rPr>
        <w:t xml:space="preserve">назначенным банком в соответствии с </w:t>
      </w:r>
      <w:r w:rsidR="00736F57" w:rsidRPr="00736F57">
        <w:rPr>
          <w:color w:val="000000" w:themeColor="text1"/>
          <w:sz w:val="22"/>
          <w:szCs w:val="22"/>
          <w:lang w:val="ru-RU" w:eastAsia="ro-MD"/>
        </w:rPr>
        <w:t>Регламентом №</w:t>
      </w:r>
      <w:r w:rsidR="00AB49F3" w:rsidRPr="00736F57">
        <w:rPr>
          <w:color w:val="000000" w:themeColor="text1"/>
          <w:sz w:val="22"/>
          <w:szCs w:val="22"/>
          <w:lang w:val="ro-RO" w:eastAsia="ro-MD"/>
        </w:rPr>
        <w:t>111/2018</w:t>
      </w:r>
      <w:r w:rsidR="00736F57" w:rsidRPr="00736F57">
        <w:rPr>
          <w:color w:val="000000" w:themeColor="text1"/>
          <w:sz w:val="22"/>
          <w:szCs w:val="22"/>
          <w:lang w:val="ru-RU" w:eastAsia="ro-MD"/>
        </w:rPr>
        <w:t>,»</w:t>
      </w:r>
      <w:r w:rsidR="00AB49F3" w:rsidRPr="00736F57">
        <w:rPr>
          <w:color w:val="000000" w:themeColor="text1"/>
          <w:sz w:val="22"/>
          <w:szCs w:val="22"/>
          <w:lang w:val="ro-RO" w:eastAsia="ro-MD"/>
        </w:rPr>
        <w:t>;</w:t>
      </w:r>
    </w:p>
    <w:p w14:paraId="21FEE5A3" w14:textId="408A0E63" w:rsidR="00AB49F3" w:rsidRPr="0051583F" w:rsidRDefault="0051583F" w:rsidP="008152E2">
      <w:pPr>
        <w:pStyle w:val="ListParagraph"/>
        <w:numPr>
          <w:ilvl w:val="2"/>
          <w:numId w:val="27"/>
        </w:numPr>
        <w:ind w:left="0" w:firstLine="567"/>
        <w:jc w:val="both"/>
        <w:rPr>
          <w:color w:val="000000" w:themeColor="text1"/>
          <w:sz w:val="22"/>
          <w:szCs w:val="22"/>
          <w:lang w:val="ru-RU" w:eastAsia="ro-MD"/>
        </w:rPr>
      </w:pPr>
      <w:r w:rsidRPr="0051583F">
        <w:rPr>
          <w:color w:val="000000" w:themeColor="text1"/>
          <w:sz w:val="22"/>
          <w:szCs w:val="22"/>
          <w:lang w:val="ru-RU" w:eastAsia="ro-MD"/>
        </w:rPr>
        <w:t xml:space="preserve">в подпункте </w:t>
      </w:r>
      <w:r w:rsidR="00AB49F3" w:rsidRPr="0051583F">
        <w:rPr>
          <w:color w:val="000000" w:themeColor="text1"/>
          <w:sz w:val="22"/>
          <w:szCs w:val="22"/>
          <w:lang w:val="ru-RU" w:eastAsia="ro-MD"/>
        </w:rPr>
        <w:t>8)</w:t>
      </w:r>
      <w:r w:rsidRPr="0051583F">
        <w:rPr>
          <w:color w:val="000000" w:themeColor="text1"/>
          <w:sz w:val="22"/>
          <w:szCs w:val="22"/>
          <w:lang w:val="ru-RU" w:eastAsia="ro-MD"/>
        </w:rPr>
        <w:t xml:space="preserve"> слово «золото» заменить словами «золотые слитки»</w:t>
      </w:r>
      <w:r w:rsidR="00AB49F3" w:rsidRPr="0051583F">
        <w:rPr>
          <w:color w:val="000000" w:themeColor="text1"/>
          <w:sz w:val="22"/>
          <w:szCs w:val="22"/>
          <w:lang w:val="ru-RU" w:eastAsia="ro-MD"/>
        </w:rPr>
        <w:t>;</w:t>
      </w:r>
    </w:p>
    <w:p w14:paraId="2A2A7940" w14:textId="65D37B31" w:rsidR="00AB49F3" w:rsidRPr="00884D1F" w:rsidRDefault="0051583F" w:rsidP="008152E2">
      <w:pPr>
        <w:pStyle w:val="ListParagraph"/>
        <w:numPr>
          <w:ilvl w:val="2"/>
          <w:numId w:val="27"/>
        </w:numPr>
        <w:ind w:left="0" w:firstLine="567"/>
        <w:jc w:val="both"/>
        <w:rPr>
          <w:color w:val="000000" w:themeColor="text1"/>
          <w:sz w:val="22"/>
          <w:szCs w:val="22"/>
          <w:lang w:val="ro-RO" w:eastAsia="ro-MD"/>
        </w:rPr>
      </w:pPr>
      <w:r>
        <w:rPr>
          <w:color w:val="000000" w:themeColor="text1"/>
          <w:sz w:val="22"/>
          <w:szCs w:val="22"/>
          <w:lang w:val="ru-RU" w:eastAsia="ro-MD"/>
        </w:rPr>
        <w:t>дополнить подпунктом</w:t>
      </w:r>
      <w:r w:rsidR="00E1208E" w:rsidRPr="00884D1F">
        <w:rPr>
          <w:color w:val="000000" w:themeColor="text1"/>
          <w:sz w:val="22"/>
          <w:szCs w:val="22"/>
          <w:lang w:val="ro-RO" w:eastAsia="ro-MD"/>
        </w:rPr>
        <w:t xml:space="preserve"> 9) </w:t>
      </w:r>
      <w:r>
        <w:rPr>
          <w:color w:val="000000" w:themeColor="text1"/>
          <w:sz w:val="22"/>
          <w:szCs w:val="22"/>
          <w:lang w:val="ru-RU" w:eastAsia="ro-MD"/>
        </w:rPr>
        <w:t>следующего содержания</w:t>
      </w:r>
      <w:r w:rsidR="00E1208E" w:rsidRPr="00884D1F">
        <w:rPr>
          <w:color w:val="000000" w:themeColor="text1"/>
          <w:sz w:val="22"/>
          <w:szCs w:val="22"/>
          <w:lang w:val="ro-RO" w:eastAsia="ro-MD"/>
        </w:rPr>
        <w:t>:</w:t>
      </w:r>
    </w:p>
    <w:p w14:paraId="47F606B4" w14:textId="32CB914D" w:rsidR="00E1208E" w:rsidRPr="00D51110" w:rsidRDefault="00A7770C" w:rsidP="00E1208E">
      <w:pPr>
        <w:jc w:val="both"/>
        <w:rPr>
          <w:color w:val="000000" w:themeColor="text1"/>
          <w:sz w:val="22"/>
          <w:szCs w:val="22"/>
          <w:lang w:val="ru-RU" w:eastAsia="ro-MD"/>
        </w:rPr>
      </w:pPr>
      <w:r w:rsidRPr="00D51110">
        <w:rPr>
          <w:color w:val="000000" w:themeColor="text1"/>
          <w:sz w:val="22"/>
          <w:szCs w:val="22"/>
          <w:lang w:val="ru-RU" w:eastAsia="ro-MD"/>
        </w:rPr>
        <w:t>«</w:t>
      </w:r>
      <w:r w:rsidR="007F1B7A" w:rsidRPr="00D51110">
        <w:rPr>
          <w:color w:val="000000" w:themeColor="text1"/>
          <w:sz w:val="22"/>
          <w:szCs w:val="22"/>
          <w:lang w:val="ru-RU" w:eastAsia="ro-MD"/>
        </w:rPr>
        <w:t xml:space="preserve">9) </w:t>
      </w:r>
      <w:r w:rsidR="00B631B4" w:rsidRPr="00D51110">
        <w:rPr>
          <w:color w:val="000000" w:themeColor="text1"/>
          <w:sz w:val="22"/>
          <w:szCs w:val="22"/>
          <w:lang w:val="ru-RU" w:eastAsia="ro-MD"/>
        </w:rPr>
        <w:t xml:space="preserve">позиции по секьюритизации, которые не являются позициями по </w:t>
      </w:r>
      <w:proofErr w:type="spellStart"/>
      <w:r w:rsidR="00B631B4" w:rsidRPr="00D51110">
        <w:rPr>
          <w:color w:val="000000" w:themeColor="text1"/>
          <w:sz w:val="22"/>
          <w:szCs w:val="22"/>
          <w:lang w:val="ru-RU" w:eastAsia="ro-MD"/>
        </w:rPr>
        <w:t>ресекьюритизации</w:t>
      </w:r>
      <w:proofErr w:type="spellEnd"/>
      <w:r w:rsidR="00B631B4" w:rsidRPr="00D51110">
        <w:rPr>
          <w:color w:val="000000" w:themeColor="text1"/>
          <w:sz w:val="22"/>
          <w:szCs w:val="22"/>
          <w:lang w:val="ru-RU" w:eastAsia="ro-MD"/>
        </w:rPr>
        <w:t xml:space="preserve"> и к которым применяется весовой коэффициент риска 100% или менее в соответствии с </w:t>
      </w:r>
      <w:r w:rsidR="00D51110" w:rsidRPr="00D51110">
        <w:rPr>
          <w:color w:val="000000" w:themeColor="text1"/>
          <w:sz w:val="22"/>
          <w:szCs w:val="22"/>
          <w:lang w:val="ru-RU" w:eastAsia="ro-MD"/>
        </w:rPr>
        <w:t>Регламентом о</w:t>
      </w:r>
      <w:r w:rsidR="00B631B4" w:rsidRPr="00D51110">
        <w:rPr>
          <w:color w:val="000000" w:themeColor="text1"/>
          <w:sz w:val="22"/>
          <w:szCs w:val="22"/>
          <w:lang w:val="ru-RU" w:eastAsia="ro-MD"/>
        </w:rPr>
        <w:t xml:space="preserve"> пруденциальном подходе к секьюритизации</w:t>
      </w:r>
      <w:r w:rsidR="00D51110" w:rsidRPr="00D51110">
        <w:rPr>
          <w:color w:val="000000" w:themeColor="text1"/>
          <w:sz w:val="22"/>
          <w:szCs w:val="22"/>
          <w:lang w:val="ru-RU" w:eastAsia="ro-MD"/>
        </w:rPr>
        <w:t xml:space="preserve"> № 221/2025</w:t>
      </w:r>
      <w:r w:rsidR="007F1B7A" w:rsidRPr="00D51110">
        <w:rPr>
          <w:color w:val="000000" w:themeColor="text1"/>
          <w:sz w:val="22"/>
          <w:szCs w:val="22"/>
          <w:lang w:val="ru-RU" w:eastAsia="ro-MD"/>
        </w:rPr>
        <w:t>.</w:t>
      </w:r>
      <w:r w:rsidR="00B631B4" w:rsidRPr="00D51110">
        <w:rPr>
          <w:color w:val="000000" w:themeColor="text1"/>
          <w:sz w:val="22"/>
          <w:szCs w:val="22"/>
          <w:lang w:val="ru-RU" w:eastAsia="ro-MD"/>
        </w:rPr>
        <w:t>»</w:t>
      </w:r>
      <w:r w:rsidR="007F1B7A" w:rsidRPr="00D51110">
        <w:rPr>
          <w:color w:val="000000" w:themeColor="text1"/>
          <w:sz w:val="22"/>
          <w:szCs w:val="22"/>
          <w:lang w:val="ru-RU" w:eastAsia="ro-MD"/>
        </w:rPr>
        <w:t>.</w:t>
      </w:r>
    </w:p>
    <w:p w14:paraId="0327D67C" w14:textId="0C6C3142" w:rsidR="007C3CFF" w:rsidRPr="00884D1F" w:rsidRDefault="00D51110" w:rsidP="00DD1675">
      <w:pPr>
        <w:pStyle w:val="ListParagraph"/>
        <w:numPr>
          <w:ilvl w:val="1"/>
          <w:numId w:val="27"/>
        </w:numPr>
        <w:tabs>
          <w:tab w:val="left" w:pos="567"/>
        </w:tabs>
        <w:spacing w:before="80"/>
        <w:ind w:left="0" w:firstLine="567"/>
        <w:jc w:val="both"/>
        <w:rPr>
          <w:color w:val="000000" w:themeColor="text1"/>
          <w:sz w:val="22"/>
          <w:szCs w:val="22"/>
          <w:lang w:val="ro-MD"/>
        </w:rPr>
      </w:pPr>
      <w:r>
        <w:rPr>
          <w:color w:val="000000" w:themeColor="text1"/>
          <w:sz w:val="22"/>
          <w:szCs w:val="22"/>
          <w:lang w:val="ru-RU"/>
        </w:rPr>
        <w:t>Пункт</w:t>
      </w:r>
      <w:r w:rsidR="00AF0A40" w:rsidRPr="00884D1F">
        <w:rPr>
          <w:color w:val="000000" w:themeColor="text1"/>
          <w:sz w:val="22"/>
          <w:szCs w:val="22"/>
          <w:lang w:val="ro-MD"/>
        </w:rPr>
        <w:t xml:space="preserve"> </w:t>
      </w:r>
      <w:r w:rsidR="00B71FB3" w:rsidRPr="00884D1F">
        <w:rPr>
          <w:color w:val="000000" w:themeColor="text1"/>
          <w:sz w:val="22"/>
          <w:szCs w:val="22"/>
          <w:lang w:val="ro-MD"/>
        </w:rPr>
        <w:t xml:space="preserve">26 </w:t>
      </w:r>
      <w:r>
        <w:rPr>
          <w:color w:val="000000" w:themeColor="text1"/>
          <w:sz w:val="22"/>
          <w:szCs w:val="22"/>
          <w:lang w:val="ru-RU" w:eastAsia="ro-MD"/>
        </w:rPr>
        <w:t>дополнить подпунктом</w:t>
      </w:r>
      <w:r w:rsidRPr="00884D1F">
        <w:rPr>
          <w:color w:val="000000" w:themeColor="text1"/>
          <w:sz w:val="22"/>
          <w:szCs w:val="22"/>
          <w:lang w:val="ro-RO" w:eastAsia="ro-MD"/>
        </w:rPr>
        <w:t xml:space="preserve"> </w:t>
      </w:r>
      <w:r>
        <w:rPr>
          <w:color w:val="000000" w:themeColor="text1"/>
          <w:sz w:val="22"/>
          <w:szCs w:val="22"/>
          <w:lang w:val="ru-RU" w:eastAsia="ro-MD"/>
        </w:rPr>
        <w:t>4</w:t>
      </w:r>
      <w:r w:rsidRPr="00884D1F">
        <w:rPr>
          <w:color w:val="000000" w:themeColor="text1"/>
          <w:sz w:val="22"/>
          <w:szCs w:val="22"/>
          <w:lang w:val="ro-RO" w:eastAsia="ro-MD"/>
        </w:rPr>
        <w:t xml:space="preserve">) </w:t>
      </w:r>
      <w:r>
        <w:rPr>
          <w:color w:val="000000" w:themeColor="text1"/>
          <w:sz w:val="22"/>
          <w:szCs w:val="22"/>
          <w:lang w:val="ru-RU" w:eastAsia="ro-MD"/>
        </w:rPr>
        <w:t>следующего содержания</w:t>
      </w:r>
      <w:r w:rsidR="00445C23" w:rsidRPr="00884D1F">
        <w:rPr>
          <w:color w:val="000000" w:themeColor="text1"/>
          <w:sz w:val="22"/>
          <w:szCs w:val="22"/>
          <w:lang w:val="ro-MD"/>
        </w:rPr>
        <w:t>:</w:t>
      </w:r>
    </w:p>
    <w:p w14:paraId="6306B3E8" w14:textId="119B3D53" w:rsidR="00445C23" w:rsidRPr="00E51321" w:rsidRDefault="000739D8" w:rsidP="00C20516">
      <w:pPr>
        <w:jc w:val="both"/>
        <w:rPr>
          <w:color w:val="000000" w:themeColor="text1"/>
          <w:sz w:val="22"/>
          <w:szCs w:val="22"/>
          <w:lang w:val="ru-RU"/>
        </w:rPr>
      </w:pPr>
      <w:r w:rsidRPr="00E51321">
        <w:rPr>
          <w:color w:val="000000" w:themeColor="text1"/>
          <w:sz w:val="22"/>
          <w:szCs w:val="22"/>
          <w:lang w:val="ru-RU" w:eastAsia="ro-MD"/>
        </w:rPr>
        <w:t>«</w:t>
      </w:r>
      <w:r w:rsidR="00C20516" w:rsidRPr="00E51321">
        <w:rPr>
          <w:color w:val="000000" w:themeColor="text1"/>
          <w:sz w:val="22"/>
          <w:szCs w:val="22"/>
          <w:lang w:val="ru-RU" w:eastAsia="ro-MD"/>
        </w:rPr>
        <w:t xml:space="preserve">4) </w:t>
      </w:r>
      <w:r w:rsidR="00207889" w:rsidRPr="00E51321">
        <w:rPr>
          <w:color w:val="000000" w:themeColor="text1"/>
          <w:sz w:val="22"/>
          <w:szCs w:val="22"/>
          <w:lang w:val="ru-RU" w:eastAsia="ro-MD"/>
        </w:rPr>
        <w:t>долговые ценные бумаги, выпущенные региональными администрациями или местными органами, если подверженности перед ними рассматриваются как подверженности перед центральной администрацией, в юрисдикции которой они находятся, в соответствии с Регламентом № 111/2018</w:t>
      </w:r>
      <w:r w:rsidR="00445C23" w:rsidRPr="00E51321">
        <w:rPr>
          <w:color w:val="000000" w:themeColor="text1"/>
          <w:sz w:val="22"/>
          <w:szCs w:val="22"/>
          <w:lang w:val="ru-RU" w:eastAsia="ro-MD"/>
        </w:rPr>
        <w:t>.</w:t>
      </w:r>
      <w:r w:rsidR="00207889" w:rsidRPr="00E51321">
        <w:rPr>
          <w:color w:val="000000" w:themeColor="text1"/>
          <w:sz w:val="22"/>
          <w:szCs w:val="22"/>
          <w:lang w:val="ru-RU" w:eastAsia="ro-MD"/>
        </w:rPr>
        <w:t>»</w:t>
      </w:r>
      <w:r w:rsidR="00445C23" w:rsidRPr="00E51321">
        <w:rPr>
          <w:color w:val="000000" w:themeColor="text1"/>
          <w:sz w:val="22"/>
          <w:szCs w:val="22"/>
          <w:lang w:val="ru-RU" w:eastAsia="ro-MD"/>
        </w:rPr>
        <w:t>.</w:t>
      </w:r>
    </w:p>
    <w:p w14:paraId="40F6C8A7" w14:textId="27371D85" w:rsidR="00442410" w:rsidRPr="00884D1F" w:rsidRDefault="00E51321" w:rsidP="002C0F98">
      <w:pPr>
        <w:pStyle w:val="ListParagraph"/>
        <w:numPr>
          <w:ilvl w:val="1"/>
          <w:numId w:val="27"/>
        </w:numPr>
        <w:tabs>
          <w:tab w:val="left" w:pos="567"/>
        </w:tabs>
        <w:spacing w:before="80"/>
        <w:ind w:left="0" w:firstLine="567"/>
        <w:jc w:val="both"/>
        <w:rPr>
          <w:color w:val="000000" w:themeColor="text1"/>
          <w:sz w:val="22"/>
          <w:szCs w:val="22"/>
          <w:lang w:val="ro-RO" w:eastAsia="ro-MD"/>
        </w:rPr>
      </w:pPr>
      <w:r>
        <w:rPr>
          <w:color w:val="000000" w:themeColor="text1"/>
          <w:sz w:val="22"/>
          <w:szCs w:val="22"/>
          <w:lang w:val="ru-RU"/>
        </w:rPr>
        <w:t xml:space="preserve">В пункте </w:t>
      </w:r>
      <w:r w:rsidR="00C20516" w:rsidRPr="00884D1F">
        <w:rPr>
          <w:color w:val="000000" w:themeColor="text1"/>
          <w:sz w:val="22"/>
          <w:szCs w:val="22"/>
          <w:lang w:val="ro-MD"/>
        </w:rPr>
        <w:t>2</w:t>
      </w:r>
      <w:r w:rsidR="00442410" w:rsidRPr="00884D1F">
        <w:rPr>
          <w:color w:val="000000" w:themeColor="text1"/>
          <w:sz w:val="22"/>
          <w:szCs w:val="22"/>
          <w:lang w:val="ro-MD"/>
        </w:rPr>
        <w:t>7</w:t>
      </w:r>
      <w:r>
        <w:rPr>
          <w:color w:val="000000" w:themeColor="text1"/>
          <w:sz w:val="22"/>
          <w:szCs w:val="22"/>
          <w:lang w:val="ru-RU"/>
        </w:rPr>
        <w:t xml:space="preserve"> подпункт</w:t>
      </w:r>
      <w:r w:rsidR="00442410" w:rsidRPr="00884D1F">
        <w:rPr>
          <w:color w:val="000000" w:themeColor="text1"/>
          <w:sz w:val="22"/>
          <w:szCs w:val="22"/>
          <w:lang w:val="ro-MD"/>
        </w:rPr>
        <w:t xml:space="preserve"> </w:t>
      </w:r>
      <w:r w:rsidR="00C20516" w:rsidRPr="00884D1F">
        <w:rPr>
          <w:color w:val="000000" w:themeColor="text1"/>
          <w:sz w:val="22"/>
          <w:szCs w:val="22"/>
          <w:lang w:val="ro-MD"/>
        </w:rPr>
        <w:t>4</w:t>
      </w:r>
      <w:r w:rsidR="00442410" w:rsidRPr="00884D1F">
        <w:rPr>
          <w:color w:val="000000" w:themeColor="text1"/>
          <w:sz w:val="22"/>
          <w:szCs w:val="22"/>
          <w:lang w:val="ro-MD"/>
        </w:rPr>
        <w:t xml:space="preserve">) </w:t>
      </w:r>
      <w:r>
        <w:rPr>
          <w:color w:val="000000" w:themeColor="text1"/>
          <w:sz w:val="22"/>
          <w:szCs w:val="22"/>
          <w:lang w:val="ru-RU"/>
        </w:rPr>
        <w:t>признать утратившим силу</w:t>
      </w:r>
      <w:r w:rsidR="00442410" w:rsidRPr="00884D1F">
        <w:rPr>
          <w:color w:val="000000" w:themeColor="text1"/>
          <w:sz w:val="22"/>
          <w:szCs w:val="22"/>
          <w:lang w:val="ro-RO" w:eastAsia="ro-MD"/>
        </w:rPr>
        <w:t>.</w:t>
      </w:r>
    </w:p>
    <w:p w14:paraId="3CEEE861" w14:textId="68A3D21C" w:rsidR="00442410" w:rsidRPr="00F176C5" w:rsidRDefault="00F176C5" w:rsidP="00DD1675">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F176C5">
        <w:rPr>
          <w:color w:val="000000" w:themeColor="text1"/>
          <w:sz w:val="22"/>
          <w:szCs w:val="22"/>
          <w:lang w:val="ru-RU"/>
        </w:rPr>
        <w:t>В пункте 28 преамбулы слова «выпущенные другими банками» дополняются словами «или инвестиционными обществами»</w:t>
      </w:r>
      <w:r w:rsidR="005419FF" w:rsidRPr="00F176C5">
        <w:rPr>
          <w:color w:val="000000" w:themeColor="text1"/>
          <w:sz w:val="22"/>
          <w:szCs w:val="22"/>
          <w:lang w:val="ru-RU"/>
        </w:rPr>
        <w:t>.</w:t>
      </w:r>
    </w:p>
    <w:p w14:paraId="608695EE" w14:textId="575A7DD5" w:rsidR="00B168FB" w:rsidRPr="00884D1F" w:rsidRDefault="00F176C5"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Дополнить пунктами</w:t>
      </w:r>
      <w:r w:rsidR="00BC0E0D" w:rsidRPr="00884D1F">
        <w:rPr>
          <w:color w:val="000000" w:themeColor="text1"/>
          <w:sz w:val="22"/>
          <w:szCs w:val="22"/>
          <w:lang w:val="ro-MD"/>
        </w:rPr>
        <w:t xml:space="preserve"> </w:t>
      </w:r>
      <w:r w:rsidR="00F31662" w:rsidRPr="00884D1F">
        <w:rPr>
          <w:color w:val="000000" w:themeColor="text1"/>
          <w:sz w:val="22"/>
          <w:szCs w:val="22"/>
          <w:lang w:val="ro-MD"/>
        </w:rPr>
        <w:t>28</w:t>
      </w:r>
      <w:r w:rsidR="00F31662" w:rsidRPr="00884D1F">
        <w:rPr>
          <w:color w:val="000000" w:themeColor="text1"/>
          <w:sz w:val="22"/>
          <w:szCs w:val="22"/>
          <w:vertAlign w:val="superscript"/>
          <w:lang w:val="ro-MD"/>
        </w:rPr>
        <w:t>1</w:t>
      </w:r>
      <w:r w:rsidR="00F31662" w:rsidRPr="00884D1F">
        <w:rPr>
          <w:color w:val="000000" w:themeColor="text1"/>
          <w:sz w:val="22"/>
          <w:szCs w:val="22"/>
          <w:lang w:val="ro-MD"/>
        </w:rPr>
        <w:t>–28</w:t>
      </w:r>
      <w:r w:rsidR="00F31662">
        <w:rPr>
          <w:color w:val="000000" w:themeColor="text1"/>
          <w:sz w:val="22"/>
          <w:szCs w:val="22"/>
          <w:vertAlign w:val="superscript"/>
          <w:lang w:val="ru-RU"/>
        </w:rPr>
        <w:t>6</w:t>
      </w:r>
      <w:r w:rsidR="00F31662" w:rsidRPr="00884D1F">
        <w:rPr>
          <w:color w:val="000000" w:themeColor="text1"/>
          <w:sz w:val="22"/>
          <w:szCs w:val="22"/>
          <w:lang w:val="ro-MD"/>
        </w:rPr>
        <w:t xml:space="preserve"> </w:t>
      </w:r>
      <w:r>
        <w:rPr>
          <w:color w:val="000000" w:themeColor="text1"/>
          <w:sz w:val="22"/>
          <w:szCs w:val="22"/>
          <w:lang w:val="ru-RU" w:eastAsia="ro-MD"/>
        </w:rPr>
        <w:t>следующего содержания</w:t>
      </w:r>
      <w:r w:rsidR="00B168FB" w:rsidRPr="00884D1F">
        <w:rPr>
          <w:color w:val="000000" w:themeColor="text1"/>
          <w:sz w:val="22"/>
          <w:szCs w:val="22"/>
          <w:lang w:val="ro-MD"/>
        </w:rPr>
        <w:t>:</w:t>
      </w:r>
    </w:p>
    <w:p w14:paraId="54D02FBC" w14:textId="448A176F" w:rsidR="00B168FB" w:rsidRPr="00F72C2E" w:rsidRDefault="00F31662" w:rsidP="00A86E98">
      <w:pPr>
        <w:jc w:val="both"/>
        <w:rPr>
          <w:color w:val="000000" w:themeColor="text1"/>
          <w:sz w:val="22"/>
          <w:szCs w:val="22"/>
          <w:lang w:val="ru-RU" w:eastAsia="ro-MD"/>
        </w:rPr>
      </w:pPr>
      <w:r w:rsidRPr="00F72C2E">
        <w:rPr>
          <w:b/>
          <w:bCs/>
          <w:color w:val="000000" w:themeColor="text1"/>
          <w:sz w:val="22"/>
          <w:szCs w:val="22"/>
          <w:lang w:val="ru-RU" w:eastAsia="ro-MD"/>
        </w:rPr>
        <w:t>«</w:t>
      </w:r>
      <w:r w:rsidR="00B168FB" w:rsidRPr="00F72C2E">
        <w:rPr>
          <w:b/>
          <w:bCs/>
          <w:color w:val="000000" w:themeColor="text1"/>
          <w:sz w:val="22"/>
          <w:szCs w:val="22"/>
          <w:lang w:val="ru-RU" w:eastAsia="ro-MD"/>
        </w:rPr>
        <w:t>28</w:t>
      </w:r>
      <w:r w:rsidR="00B168FB" w:rsidRPr="00F72C2E">
        <w:rPr>
          <w:b/>
          <w:bCs/>
          <w:color w:val="000000" w:themeColor="text1"/>
          <w:sz w:val="22"/>
          <w:szCs w:val="22"/>
          <w:vertAlign w:val="superscript"/>
          <w:lang w:val="ru-RU" w:eastAsia="ro-MD"/>
        </w:rPr>
        <w:t>1</w:t>
      </w:r>
      <w:r w:rsidR="00B168FB" w:rsidRPr="00F72C2E">
        <w:rPr>
          <w:b/>
          <w:bCs/>
          <w:color w:val="000000" w:themeColor="text1"/>
          <w:sz w:val="22"/>
          <w:szCs w:val="22"/>
          <w:lang w:val="ru-RU" w:eastAsia="ro-MD"/>
        </w:rPr>
        <w:t>.</w:t>
      </w:r>
      <w:r w:rsidR="00B168FB" w:rsidRPr="00F72C2E">
        <w:rPr>
          <w:color w:val="000000" w:themeColor="text1"/>
          <w:sz w:val="22"/>
          <w:szCs w:val="22"/>
          <w:lang w:val="ru-RU"/>
        </w:rPr>
        <w:t xml:space="preserve"> </w:t>
      </w:r>
      <w:r w:rsidRPr="00F72C2E">
        <w:rPr>
          <w:color w:val="000000" w:themeColor="text1"/>
          <w:sz w:val="22"/>
          <w:szCs w:val="22"/>
          <w:lang w:val="ru-RU" w:eastAsia="ro-MD"/>
        </w:rPr>
        <w:t>Банки могут использовать паи или акции, принадлежащие им в ОКИ, в качестве допустимого вещного обеспечения, если совокупно выполняются следующие условия</w:t>
      </w:r>
      <w:r w:rsidR="00B168FB" w:rsidRPr="00F72C2E">
        <w:rPr>
          <w:color w:val="000000" w:themeColor="text1"/>
          <w:sz w:val="22"/>
          <w:szCs w:val="22"/>
          <w:lang w:val="ru-RU" w:eastAsia="ro-MD"/>
        </w:rPr>
        <w:t>:</w:t>
      </w:r>
    </w:p>
    <w:p w14:paraId="51C415EA" w14:textId="22F650B1" w:rsidR="00B168FB" w:rsidRPr="00F72C2E" w:rsidRDefault="00B168FB" w:rsidP="00A86E98">
      <w:pPr>
        <w:ind w:firstLine="567"/>
        <w:jc w:val="both"/>
        <w:rPr>
          <w:color w:val="000000" w:themeColor="text1"/>
          <w:sz w:val="22"/>
          <w:szCs w:val="22"/>
          <w:lang w:val="ru-RU" w:eastAsia="ro-MD"/>
        </w:rPr>
      </w:pPr>
      <w:r w:rsidRPr="00F72C2E">
        <w:rPr>
          <w:color w:val="000000" w:themeColor="text1"/>
          <w:sz w:val="22"/>
          <w:szCs w:val="22"/>
          <w:lang w:val="ru-RU" w:eastAsia="ro-MD"/>
        </w:rPr>
        <w:t xml:space="preserve">1) </w:t>
      </w:r>
      <w:r w:rsidR="00672BE1" w:rsidRPr="00F72C2E">
        <w:rPr>
          <w:color w:val="000000" w:themeColor="text1"/>
          <w:sz w:val="22"/>
          <w:szCs w:val="22"/>
          <w:lang w:val="ru-RU" w:eastAsia="ro-MD"/>
        </w:rPr>
        <w:t>единицы или акции имеют ежедневную публичную котировку цены</w:t>
      </w:r>
      <w:r w:rsidRPr="00F72C2E">
        <w:rPr>
          <w:color w:val="000000" w:themeColor="text1"/>
          <w:sz w:val="22"/>
          <w:szCs w:val="22"/>
          <w:lang w:val="ru-RU" w:eastAsia="ro-MD"/>
        </w:rPr>
        <w:t>;</w:t>
      </w:r>
    </w:p>
    <w:p w14:paraId="6A898AF2" w14:textId="1BAAEB12" w:rsidR="00B168FB" w:rsidRPr="00F72C2E" w:rsidRDefault="00B168FB" w:rsidP="00A86E98">
      <w:pPr>
        <w:ind w:firstLine="567"/>
        <w:jc w:val="both"/>
        <w:rPr>
          <w:color w:val="000000" w:themeColor="text1"/>
          <w:sz w:val="22"/>
          <w:szCs w:val="22"/>
          <w:lang w:val="ru-RU" w:eastAsia="ro-MD"/>
        </w:rPr>
      </w:pPr>
      <w:r w:rsidRPr="00F72C2E">
        <w:rPr>
          <w:color w:val="000000" w:themeColor="text1"/>
          <w:sz w:val="22"/>
          <w:szCs w:val="22"/>
          <w:lang w:val="ru-RU" w:eastAsia="ro-MD"/>
        </w:rPr>
        <w:t xml:space="preserve">2) </w:t>
      </w:r>
      <w:r w:rsidR="00672BE1" w:rsidRPr="00F72C2E">
        <w:rPr>
          <w:color w:val="000000" w:themeColor="text1"/>
          <w:sz w:val="22"/>
          <w:szCs w:val="22"/>
          <w:lang w:val="ru-RU" w:eastAsia="ro-MD"/>
        </w:rPr>
        <w:t>ОКИ ограничивается инвестициями в инструменты, которые подлежат признанию в соответствии с пунктами 25 и 28</w:t>
      </w:r>
      <w:r w:rsidRPr="00F72C2E">
        <w:rPr>
          <w:color w:val="000000" w:themeColor="text1"/>
          <w:sz w:val="22"/>
          <w:szCs w:val="22"/>
          <w:lang w:val="ru-RU" w:eastAsia="ro-MD"/>
        </w:rPr>
        <w:t>;</w:t>
      </w:r>
    </w:p>
    <w:p w14:paraId="39A4570E" w14:textId="46D8FC20" w:rsidR="00B168FB" w:rsidRPr="00F72C2E" w:rsidRDefault="00B168FB" w:rsidP="00A86E98">
      <w:pPr>
        <w:ind w:firstLine="567"/>
        <w:jc w:val="both"/>
        <w:rPr>
          <w:color w:val="000000" w:themeColor="text1"/>
          <w:sz w:val="22"/>
          <w:szCs w:val="22"/>
          <w:lang w:val="ru-RU" w:eastAsia="ro-MD"/>
        </w:rPr>
      </w:pPr>
      <w:r w:rsidRPr="00F72C2E">
        <w:rPr>
          <w:color w:val="000000" w:themeColor="text1"/>
          <w:sz w:val="22"/>
          <w:szCs w:val="22"/>
          <w:lang w:val="ru-RU" w:eastAsia="ro-MD"/>
        </w:rPr>
        <w:t xml:space="preserve">3) </w:t>
      </w:r>
      <w:r w:rsidR="00F72C2E" w:rsidRPr="00F72C2E">
        <w:rPr>
          <w:color w:val="000000" w:themeColor="text1"/>
          <w:sz w:val="22"/>
          <w:szCs w:val="22"/>
          <w:lang w:val="ru-RU" w:eastAsia="ro-MD"/>
        </w:rPr>
        <w:t>ОКИ соответствуют условиям для определения взвешенной по риску стоимости подверженностей ОКИ, предусмотренным Регламентом № 111/2018</w:t>
      </w:r>
      <w:r w:rsidRPr="00F72C2E">
        <w:rPr>
          <w:color w:val="000000" w:themeColor="text1"/>
          <w:sz w:val="22"/>
          <w:szCs w:val="22"/>
          <w:lang w:val="ru-RU" w:eastAsia="ro-MD"/>
        </w:rPr>
        <w:t>.</w:t>
      </w:r>
    </w:p>
    <w:p w14:paraId="70AC9890" w14:textId="5B08EE49" w:rsidR="00B168FB" w:rsidRPr="00C514EF" w:rsidRDefault="00B168FB" w:rsidP="00A86E98">
      <w:pPr>
        <w:jc w:val="both"/>
        <w:rPr>
          <w:color w:val="000000" w:themeColor="text1"/>
          <w:sz w:val="22"/>
          <w:szCs w:val="22"/>
          <w:lang w:val="ru-RU" w:eastAsia="ro-MD"/>
        </w:rPr>
      </w:pPr>
      <w:r w:rsidRPr="00C514EF">
        <w:rPr>
          <w:b/>
          <w:bCs/>
          <w:color w:val="000000" w:themeColor="text1"/>
          <w:sz w:val="22"/>
          <w:szCs w:val="22"/>
          <w:lang w:val="ru-RU" w:eastAsia="ro-MD"/>
        </w:rPr>
        <w:t>28</w:t>
      </w:r>
      <w:r w:rsidRPr="00C514EF">
        <w:rPr>
          <w:b/>
          <w:bCs/>
          <w:color w:val="000000" w:themeColor="text1"/>
          <w:sz w:val="22"/>
          <w:szCs w:val="22"/>
          <w:vertAlign w:val="superscript"/>
          <w:lang w:val="ru-RU" w:eastAsia="ro-MD"/>
        </w:rPr>
        <w:t>2</w:t>
      </w:r>
      <w:r w:rsidRPr="00C514EF">
        <w:rPr>
          <w:b/>
          <w:bCs/>
          <w:color w:val="000000" w:themeColor="text1"/>
          <w:sz w:val="22"/>
          <w:szCs w:val="22"/>
          <w:lang w:val="ru-RU" w:eastAsia="ro-MD"/>
        </w:rPr>
        <w:t>.</w:t>
      </w:r>
      <w:r w:rsidRPr="00C514EF">
        <w:rPr>
          <w:color w:val="000000" w:themeColor="text1"/>
          <w:sz w:val="22"/>
          <w:szCs w:val="22"/>
          <w:lang w:val="ru-RU" w:eastAsia="ro-MD"/>
        </w:rPr>
        <w:t xml:space="preserve"> </w:t>
      </w:r>
      <w:r w:rsidR="00C514EF" w:rsidRPr="00C514EF">
        <w:rPr>
          <w:color w:val="000000" w:themeColor="text1"/>
          <w:sz w:val="22"/>
          <w:szCs w:val="22"/>
          <w:lang w:val="ru-RU" w:eastAsia="ro-MD"/>
        </w:rPr>
        <w:t>В случае если ОКИ инвестирует в акции или единицы друго</w:t>
      </w:r>
      <w:r w:rsidR="0059307D">
        <w:rPr>
          <w:color w:val="000000" w:themeColor="text1"/>
          <w:sz w:val="22"/>
          <w:szCs w:val="22"/>
          <w:lang w:val="ru-RU" w:eastAsia="ro-MD"/>
        </w:rPr>
        <w:t>й</w:t>
      </w:r>
      <w:r w:rsidR="00C514EF" w:rsidRPr="00C514EF">
        <w:rPr>
          <w:color w:val="000000" w:themeColor="text1"/>
          <w:sz w:val="22"/>
          <w:szCs w:val="22"/>
          <w:lang w:val="ru-RU" w:eastAsia="ro-MD"/>
        </w:rPr>
        <w:t xml:space="preserve"> ОКИ, условия, предусмотренные в подпунктах 1)-3) пункта 28</w:t>
      </w:r>
      <w:r w:rsidR="00C514EF" w:rsidRPr="00C514EF">
        <w:rPr>
          <w:color w:val="000000" w:themeColor="text1"/>
          <w:sz w:val="22"/>
          <w:szCs w:val="22"/>
          <w:vertAlign w:val="superscript"/>
          <w:lang w:val="ru-RU" w:eastAsia="ro-MD"/>
        </w:rPr>
        <w:t>1</w:t>
      </w:r>
      <w:r w:rsidR="00C514EF" w:rsidRPr="00C514EF">
        <w:rPr>
          <w:color w:val="000000" w:themeColor="text1"/>
          <w:sz w:val="22"/>
          <w:szCs w:val="22"/>
          <w:lang w:val="ru-RU" w:eastAsia="ro-MD"/>
        </w:rPr>
        <w:t>, применяются также к любому такому базово</w:t>
      </w:r>
      <w:r w:rsidR="00800CF1">
        <w:rPr>
          <w:color w:val="000000" w:themeColor="text1"/>
          <w:sz w:val="22"/>
          <w:szCs w:val="22"/>
          <w:lang w:val="ru-RU" w:eastAsia="ro-MD"/>
        </w:rPr>
        <w:t>й</w:t>
      </w:r>
      <w:r w:rsidR="00C514EF" w:rsidRPr="00C514EF">
        <w:rPr>
          <w:color w:val="000000" w:themeColor="text1"/>
          <w:sz w:val="22"/>
          <w:szCs w:val="22"/>
          <w:lang w:val="ru-RU" w:eastAsia="ro-MD"/>
        </w:rPr>
        <w:t xml:space="preserve"> ОКИ</w:t>
      </w:r>
      <w:r w:rsidRPr="00C514EF">
        <w:rPr>
          <w:color w:val="000000" w:themeColor="text1"/>
          <w:sz w:val="22"/>
          <w:szCs w:val="22"/>
          <w:lang w:val="ru-RU" w:eastAsia="ro-MD"/>
        </w:rPr>
        <w:t>.</w:t>
      </w:r>
      <w:r w:rsidRPr="00C514EF">
        <w:rPr>
          <w:color w:val="000000" w:themeColor="text1"/>
          <w:sz w:val="22"/>
          <w:szCs w:val="22"/>
          <w:highlight w:val="lightGray"/>
          <w:lang w:val="ru-RU" w:eastAsia="ro-MD"/>
        </w:rPr>
        <w:t xml:space="preserve"> </w:t>
      </w:r>
    </w:p>
    <w:p w14:paraId="2865BC68" w14:textId="5B64C5B9" w:rsidR="00B168FB" w:rsidRPr="00E0039D" w:rsidRDefault="00B168FB" w:rsidP="00A86E98">
      <w:pPr>
        <w:jc w:val="both"/>
        <w:rPr>
          <w:color w:val="000000" w:themeColor="text1"/>
          <w:sz w:val="22"/>
          <w:szCs w:val="22"/>
          <w:lang w:val="ru-RU" w:eastAsia="ro-MD"/>
        </w:rPr>
      </w:pPr>
      <w:r w:rsidRPr="00E0039D">
        <w:rPr>
          <w:b/>
          <w:bCs/>
          <w:color w:val="000000" w:themeColor="text1"/>
          <w:sz w:val="22"/>
          <w:szCs w:val="22"/>
          <w:lang w:val="ru-RU" w:eastAsia="ro-MD"/>
        </w:rPr>
        <w:t>28</w:t>
      </w:r>
      <w:r w:rsidRPr="00E0039D">
        <w:rPr>
          <w:b/>
          <w:bCs/>
          <w:color w:val="000000" w:themeColor="text1"/>
          <w:sz w:val="22"/>
          <w:szCs w:val="22"/>
          <w:vertAlign w:val="superscript"/>
          <w:lang w:val="ru-RU" w:eastAsia="ro-MD"/>
        </w:rPr>
        <w:t>3</w:t>
      </w:r>
      <w:r w:rsidRPr="00E0039D">
        <w:rPr>
          <w:b/>
          <w:bCs/>
          <w:color w:val="000000" w:themeColor="text1"/>
          <w:sz w:val="22"/>
          <w:szCs w:val="22"/>
          <w:lang w:val="ru-RU" w:eastAsia="ro-MD"/>
        </w:rPr>
        <w:t xml:space="preserve">. </w:t>
      </w:r>
      <w:r w:rsidR="008041B8" w:rsidRPr="00E0039D">
        <w:rPr>
          <w:color w:val="000000" w:themeColor="text1"/>
          <w:sz w:val="22"/>
          <w:szCs w:val="22"/>
          <w:lang w:val="ru-RU" w:eastAsia="ro-MD"/>
        </w:rPr>
        <w:t>Использование ОКИ производных финансовых инструментов для хеджирования рисков, связанных с разрешенными инвестициями, не влияет на возможность использования единиц или акций, принадлежащих данно</w:t>
      </w:r>
      <w:r w:rsidR="00800CF1">
        <w:rPr>
          <w:color w:val="000000" w:themeColor="text1"/>
          <w:sz w:val="22"/>
          <w:szCs w:val="22"/>
          <w:lang w:val="ru-RU" w:eastAsia="ro-MD"/>
        </w:rPr>
        <w:t>й</w:t>
      </w:r>
      <w:r w:rsidR="008041B8" w:rsidRPr="00E0039D">
        <w:rPr>
          <w:color w:val="000000" w:themeColor="text1"/>
          <w:sz w:val="22"/>
          <w:szCs w:val="22"/>
          <w:lang w:val="ru-RU" w:eastAsia="ro-MD"/>
        </w:rPr>
        <w:t xml:space="preserve"> ОКИ, в качестве реальных гарантий</w:t>
      </w:r>
      <w:r w:rsidRPr="00E0039D">
        <w:rPr>
          <w:color w:val="000000" w:themeColor="text1"/>
          <w:sz w:val="22"/>
          <w:szCs w:val="22"/>
          <w:lang w:val="ru-RU" w:eastAsia="ro-MD"/>
        </w:rPr>
        <w:t>.</w:t>
      </w:r>
    </w:p>
    <w:p w14:paraId="61F9B16E" w14:textId="1AFC5E57" w:rsidR="00B168FB" w:rsidRPr="00E0039D" w:rsidRDefault="00B168FB" w:rsidP="00A86E98">
      <w:pPr>
        <w:jc w:val="both"/>
        <w:rPr>
          <w:color w:val="000000" w:themeColor="text1"/>
          <w:sz w:val="22"/>
          <w:szCs w:val="22"/>
          <w:lang w:val="ru-RU" w:eastAsia="ro-MD"/>
        </w:rPr>
      </w:pPr>
      <w:r w:rsidRPr="00E0039D">
        <w:rPr>
          <w:b/>
          <w:bCs/>
          <w:color w:val="000000" w:themeColor="text1"/>
          <w:sz w:val="22"/>
          <w:szCs w:val="22"/>
          <w:lang w:val="ru-RU" w:eastAsia="ro-MD"/>
        </w:rPr>
        <w:t>28</w:t>
      </w:r>
      <w:r w:rsidRPr="00E0039D">
        <w:rPr>
          <w:b/>
          <w:bCs/>
          <w:color w:val="000000" w:themeColor="text1"/>
          <w:sz w:val="22"/>
          <w:szCs w:val="22"/>
          <w:vertAlign w:val="superscript"/>
          <w:lang w:val="ru-RU" w:eastAsia="ro-MD"/>
        </w:rPr>
        <w:t>4</w:t>
      </w:r>
      <w:r w:rsidRPr="00E0039D">
        <w:rPr>
          <w:b/>
          <w:bCs/>
          <w:color w:val="000000" w:themeColor="text1"/>
          <w:sz w:val="22"/>
          <w:szCs w:val="22"/>
          <w:lang w:val="ru-RU" w:eastAsia="ro-MD"/>
        </w:rPr>
        <w:t>.</w:t>
      </w:r>
      <w:r w:rsidRPr="00E0039D">
        <w:rPr>
          <w:color w:val="000000" w:themeColor="text1"/>
          <w:sz w:val="22"/>
          <w:szCs w:val="22"/>
          <w:lang w:val="ru-RU" w:eastAsia="ro-MD"/>
        </w:rPr>
        <w:t xml:space="preserve"> </w:t>
      </w:r>
      <w:r w:rsidR="002B6C50" w:rsidRPr="00E0039D">
        <w:rPr>
          <w:color w:val="000000" w:themeColor="text1"/>
          <w:sz w:val="22"/>
          <w:szCs w:val="22"/>
          <w:lang w:val="ru-RU" w:eastAsia="ro-MD"/>
        </w:rPr>
        <w:t>В целях пунктов</w:t>
      </w:r>
      <w:r w:rsidRPr="00E0039D">
        <w:rPr>
          <w:color w:val="000000" w:themeColor="text1"/>
          <w:sz w:val="22"/>
          <w:szCs w:val="22"/>
          <w:lang w:val="ru-RU" w:eastAsia="ro-MD"/>
        </w:rPr>
        <w:t xml:space="preserve"> </w:t>
      </w:r>
      <w:r w:rsidR="00A672CD" w:rsidRPr="00E0039D">
        <w:rPr>
          <w:color w:val="000000" w:themeColor="text1"/>
          <w:sz w:val="22"/>
          <w:szCs w:val="22"/>
          <w:lang w:val="ru-RU" w:eastAsia="ro-MD"/>
        </w:rPr>
        <w:t>28</w:t>
      </w:r>
      <w:r w:rsidR="00A672CD" w:rsidRPr="00E0039D">
        <w:rPr>
          <w:color w:val="000000" w:themeColor="text1"/>
          <w:sz w:val="22"/>
          <w:szCs w:val="22"/>
          <w:vertAlign w:val="superscript"/>
          <w:lang w:val="ru-RU" w:eastAsia="ro-MD"/>
        </w:rPr>
        <w:t>1</w:t>
      </w:r>
      <w:r w:rsidR="00A672CD" w:rsidRPr="00E0039D">
        <w:rPr>
          <w:color w:val="000000" w:themeColor="text1"/>
          <w:sz w:val="22"/>
          <w:szCs w:val="22"/>
          <w:lang w:val="ru-RU" w:eastAsia="ro-MD"/>
        </w:rPr>
        <w:t>–28</w:t>
      </w:r>
      <w:r w:rsidR="00A672CD">
        <w:rPr>
          <w:color w:val="000000" w:themeColor="text1"/>
          <w:sz w:val="22"/>
          <w:szCs w:val="22"/>
          <w:vertAlign w:val="superscript"/>
          <w:lang w:val="ru-RU" w:eastAsia="ro-MD"/>
        </w:rPr>
        <w:t>3</w:t>
      </w:r>
      <w:r w:rsidRPr="00E0039D">
        <w:rPr>
          <w:color w:val="000000" w:themeColor="text1"/>
          <w:sz w:val="22"/>
          <w:szCs w:val="22"/>
          <w:lang w:val="ru-RU" w:eastAsia="ro-MD"/>
        </w:rPr>
        <w:t xml:space="preserve">, </w:t>
      </w:r>
      <w:r w:rsidR="002B6C50" w:rsidRPr="00E0039D">
        <w:rPr>
          <w:color w:val="000000" w:themeColor="text1"/>
          <w:sz w:val="22"/>
          <w:szCs w:val="22"/>
          <w:lang w:val="ru-RU" w:eastAsia="ro-MD"/>
        </w:rPr>
        <w:t xml:space="preserve">если ОКИ (далее именуемый «исходный ОКИ») или любой из его </w:t>
      </w:r>
      <w:r w:rsidR="00E0039D" w:rsidRPr="00E0039D">
        <w:rPr>
          <w:color w:val="000000" w:themeColor="text1"/>
          <w:sz w:val="22"/>
          <w:szCs w:val="22"/>
          <w:lang w:val="ru-RU" w:eastAsia="ro-MD"/>
        </w:rPr>
        <w:t>базовых ОКИ</w:t>
      </w:r>
      <w:r w:rsidR="002B6C50" w:rsidRPr="00E0039D">
        <w:rPr>
          <w:color w:val="000000" w:themeColor="text1"/>
          <w:sz w:val="22"/>
          <w:szCs w:val="22"/>
          <w:lang w:val="ru-RU" w:eastAsia="ro-MD"/>
        </w:rPr>
        <w:t xml:space="preserve"> не ограничивается инвестированием в инструменты, допустимые в соответствии с пунктами 25–28, применяются следующие положения</w:t>
      </w:r>
      <w:r w:rsidRPr="00E0039D">
        <w:rPr>
          <w:color w:val="000000" w:themeColor="text1"/>
          <w:sz w:val="22"/>
          <w:szCs w:val="22"/>
          <w:lang w:val="ru-RU" w:eastAsia="ro-MD"/>
        </w:rPr>
        <w:t>:</w:t>
      </w:r>
    </w:p>
    <w:p w14:paraId="4318A606" w14:textId="400DFA76" w:rsidR="00B168FB" w:rsidRPr="00A672CD" w:rsidRDefault="00B168FB" w:rsidP="00A86E98">
      <w:pPr>
        <w:ind w:firstLine="567"/>
        <w:jc w:val="both"/>
        <w:rPr>
          <w:color w:val="000000" w:themeColor="text1"/>
          <w:sz w:val="22"/>
          <w:szCs w:val="22"/>
          <w:lang w:val="ru-RU" w:eastAsia="ro-MD"/>
        </w:rPr>
      </w:pPr>
      <w:r w:rsidRPr="00A672CD">
        <w:rPr>
          <w:color w:val="000000" w:themeColor="text1"/>
          <w:sz w:val="22"/>
          <w:szCs w:val="22"/>
          <w:lang w:val="ru-RU" w:eastAsia="ro-MD"/>
        </w:rPr>
        <w:t xml:space="preserve">1) </w:t>
      </w:r>
      <w:r w:rsidR="00A672CD" w:rsidRPr="00A672CD">
        <w:rPr>
          <w:color w:val="000000" w:themeColor="text1"/>
          <w:sz w:val="22"/>
          <w:szCs w:val="22"/>
          <w:lang w:val="ru-RU" w:eastAsia="ro-MD"/>
        </w:rPr>
        <w:t>если банки применяют прозрачный подход типа «</w:t>
      </w:r>
      <w:proofErr w:type="spellStart"/>
      <w:r w:rsidR="00A672CD" w:rsidRPr="00A672CD">
        <w:rPr>
          <w:color w:val="000000" w:themeColor="text1"/>
          <w:sz w:val="22"/>
          <w:szCs w:val="22"/>
          <w:lang w:val="ru-RU" w:eastAsia="ro-MD"/>
        </w:rPr>
        <w:t>look-through</w:t>
      </w:r>
      <w:proofErr w:type="spellEnd"/>
      <w:r w:rsidR="00A672CD" w:rsidRPr="00A672CD">
        <w:rPr>
          <w:color w:val="000000" w:themeColor="text1"/>
          <w:sz w:val="22"/>
          <w:szCs w:val="22"/>
          <w:lang w:val="ru-RU" w:eastAsia="ro-MD"/>
        </w:rPr>
        <w:t>», упомянутый в Регламенте № 111/2018 или нормативном акте Национального банка Молдовы об отношении к кредитному риску в соответствии с подходом, основанным на внутренних рейтинговых моделях для прямых рисков по отношению к ОКИ, они могут использовать единицы или акции, которыми они владеют в данно</w:t>
      </w:r>
      <w:r w:rsidR="00800CF1">
        <w:rPr>
          <w:color w:val="000000" w:themeColor="text1"/>
          <w:sz w:val="22"/>
          <w:szCs w:val="22"/>
          <w:lang w:val="ru-RU" w:eastAsia="ro-MD"/>
        </w:rPr>
        <w:t>й</w:t>
      </w:r>
      <w:r w:rsidR="00A672CD" w:rsidRPr="00A672CD">
        <w:rPr>
          <w:color w:val="000000" w:themeColor="text1"/>
          <w:sz w:val="22"/>
          <w:szCs w:val="22"/>
          <w:lang w:val="ru-RU" w:eastAsia="ro-MD"/>
        </w:rPr>
        <w:t xml:space="preserve"> ОКИ, в качестве реальных гарантий на сумму, равную стоимости инструментов, находящихся во владении данно</w:t>
      </w:r>
      <w:r w:rsidR="00800CF1">
        <w:rPr>
          <w:color w:val="000000" w:themeColor="text1"/>
          <w:sz w:val="22"/>
          <w:szCs w:val="22"/>
          <w:lang w:val="ru-RU" w:eastAsia="ro-MD"/>
        </w:rPr>
        <w:t>й</w:t>
      </w:r>
      <w:r w:rsidR="00A672CD" w:rsidRPr="00A672CD">
        <w:rPr>
          <w:color w:val="000000" w:themeColor="text1"/>
          <w:sz w:val="22"/>
          <w:szCs w:val="22"/>
          <w:lang w:val="ru-RU" w:eastAsia="ro-MD"/>
        </w:rPr>
        <w:t xml:space="preserve"> ОКИ, которые являются приемлемыми в соответствии с пунктами 25–28 настоящего Регламента</w:t>
      </w:r>
      <w:r w:rsidRPr="00A672CD">
        <w:rPr>
          <w:color w:val="000000" w:themeColor="text1"/>
          <w:sz w:val="22"/>
          <w:szCs w:val="22"/>
          <w:lang w:val="ru-RU" w:eastAsia="ro-MD"/>
        </w:rPr>
        <w:t>;</w:t>
      </w:r>
    </w:p>
    <w:p w14:paraId="23A5FE96" w14:textId="00BD83A3" w:rsidR="00B168FB" w:rsidRPr="00C01CE1" w:rsidRDefault="00B168FB" w:rsidP="00B168FB">
      <w:pPr>
        <w:ind w:firstLine="567"/>
        <w:jc w:val="both"/>
        <w:rPr>
          <w:color w:val="000000" w:themeColor="text1"/>
          <w:sz w:val="22"/>
          <w:szCs w:val="22"/>
          <w:lang w:val="ru-RU" w:eastAsia="ro-MD"/>
        </w:rPr>
      </w:pPr>
      <w:r w:rsidRPr="00C01CE1">
        <w:rPr>
          <w:color w:val="000000" w:themeColor="text1"/>
          <w:sz w:val="22"/>
          <w:szCs w:val="22"/>
          <w:lang w:val="ru-RU" w:eastAsia="ro-MD"/>
        </w:rPr>
        <w:t xml:space="preserve">2) </w:t>
      </w:r>
      <w:r w:rsidR="00C01CE1" w:rsidRPr="00C01CE1">
        <w:rPr>
          <w:color w:val="000000" w:themeColor="text1"/>
          <w:sz w:val="22"/>
          <w:szCs w:val="22"/>
          <w:lang w:val="ru-RU" w:eastAsia="ro-MD"/>
        </w:rPr>
        <w:t xml:space="preserve">если банки применяют подход на основе мандата, указанный в Регламенте № 111/2018 или в нормативном акте Национального банка Молдовы об отношении </w:t>
      </w:r>
      <w:r w:rsidR="000728FD">
        <w:rPr>
          <w:color w:val="000000" w:themeColor="text1"/>
          <w:sz w:val="22"/>
          <w:szCs w:val="22"/>
          <w:lang w:val="ru-RU" w:eastAsia="ro-MD"/>
        </w:rPr>
        <w:t>к кредитному риску в соответствии с подходом</w:t>
      </w:r>
      <w:r w:rsidR="00C01CE1" w:rsidRPr="00C01CE1">
        <w:rPr>
          <w:color w:val="000000" w:themeColor="text1"/>
          <w:sz w:val="22"/>
          <w:szCs w:val="22"/>
          <w:lang w:val="ru-RU" w:eastAsia="ro-MD"/>
        </w:rPr>
        <w:t>, основанным на внутренних рейтинговых моделях для прямых подверженностей перед ОКИ, они могут использовать единицы или акции, которыми они владеют в данно</w:t>
      </w:r>
      <w:r w:rsidR="00800CF1">
        <w:rPr>
          <w:color w:val="000000" w:themeColor="text1"/>
          <w:sz w:val="22"/>
          <w:szCs w:val="22"/>
          <w:lang w:val="ru-RU" w:eastAsia="ro-MD"/>
        </w:rPr>
        <w:t>й</w:t>
      </w:r>
      <w:r w:rsidR="00C01CE1" w:rsidRPr="00C01CE1">
        <w:rPr>
          <w:color w:val="000000" w:themeColor="text1"/>
          <w:sz w:val="22"/>
          <w:szCs w:val="22"/>
          <w:lang w:val="ru-RU" w:eastAsia="ro-MD"/>
        </w:rPr>
        <w:t xml:space="preserve"> ОКИ, в качестве реальных гарантий на сумму, равную стоимости инструментов, находящихся во владении данно</w:t>
      </w:r>
      <w:r w:rsidR="00800CF1">
        <w:rPr>
          <w:color w:val="000000" w:themeColor="text1"/>
          <w:sz w:val="22"/>
          <w:szCs w:val="22"/>
          <w:lang w:val="ru-RU" w:eastAsia="ro-MD"/>
        </w:rPr>
        <w:t>й</w:t>
      </w:r>
      <w:r w:rsidR="00C01CE1" w:rsidRPr="00C01CE1">
        <w:rPr>
          <w:color w:val="000000" w:themeColor="text1"/>
          <w:sz w:val="22"/>
          <w:szCs w:val="22"/>
          <w:lang w:val="ru-RU" w:eastAsia="ro-MD"/>
        </w:rPr>
        <w:t xml:space="preserve"> ОКИ, которые являются приемлемыми в соответствии с пунктами 25 и 28, при условии, что данн</w:t>
      </w:r>
      <w:r w:rsidR="00800CF1">
        <w:rPr>
          <w:color w:val="000000" w:themeColor="text1"/>
          <w:sz w:val="22"/>
          <w:szCs w:val="22"/>
          <w:lang w:val="ru-RU" w:eastAsia="ro-MD"/>
        </w:rPr>
        <w:t>ая</w:t>
      </w:r>
      <w:r w:rsidR="00C01CE1" w:rsidRPr="00C01CE1">
        <w:rPr>
          <w:color w:val="000000" w:themeColor="text1"/>
          <w:sz w:val="22"/>
          <w:szCs w:val="22"/>
          <w:lang w:val="ru-RU" w:eastAsia="ro-MD"/>
        </w:rPr>
        <w:t xml:space="preserve"> ОКИ или любой из его базовых ОКИ инвестировал в неприемлемые инструменты в максимальном объеме, допускаемом их мандатами</w:t>
      </w:r>
      <w:r w:rsidRPr="00C01CE1">
        <w:rPr>
          <w:color w:val="000000" w:themeColor="text1"/>
          <w:sz w:val="22"/>
          <w:szCs w:val="22"/>
          <w:lang w:val="ru-RU" w:eastAsia="ro-MD"/>
        </w:rPr>
        <w:t>.</w:t>
      </w:r>
    </w:p>
    <w:p w14:paraId="32248221" w14:textId="2F8FC9E3" w:rsidR="00B168FB" w:rsidRPr="00DD65F9" w:rsidRDefault="00B168FB" w:rsidP="00A86E98">
      <w:pPr>
        <w:jc w:val="both"/>
        <w:rPr>
          <w:color w:val="000000" w:themeColor="text1"/>
          <w:sz w:val="22"/>
          <w:szCs w:val="22"/>
          <w:lang w:val="ru-RU" w:eastAsia="ro-MD"/>
        </w:rPr>
      </w:pPr>
      <w:r w:rsidRPr="00DD65F9">
        <w:rPr>
          <w:b/>
          <w:bCs/>
          <w:color w:val="000000" w:themeColor="text1"/>
          <w:sz w:val="22"/>
          <w:szCs w:val="22"/>
          <w:lang w:val="ru-RU" w:eastAsia="ro-MD"/>
        </w:rPr>
        <w:t>28</w:t>
      </w:r>
      <w:r w:rsidRPr="00DD65F9">
        <w:rPr>
          <w:b/>
          <w:bCs/>
          <w:color w:val="000000" w:themeColor="text1"/>
          <w:sz w:val="22"/>
          <w:szCs w:val="22"/>
          <w:vertAlign w:val="superscript"/>
          <w:lang w:val="ru-RU" w:eastAsia="ro-MD"/>
        </w:rPr>
        <w:t>5</w:t>
      </w:r>
      <w:r w:rsidRPr="00DD65F9">
        <w:rPr>
          <w:b/>
          <w:bCs/>
          <w:color w:val="000000" w:themeColor="text1"/>
          <w:sz w:val="22"/>
          <w:szCs w:val="22"/>
          <w:lang w:val="ru-RU" w:eastAsia="ro-MD"/>
        </w:rPr>
        <w:t>.</w:t>
      </w:r>
      <w:r w:rsidRPr="00DD65F9">
        <w:rPr>
          <w:color w:val="000000" w:themeColor="text1"/>
          <w:sz w:val="22"/>
          <w:szCs w:val="22"/>
          <w:lang w:val="ru-RU" w:eastAsia="ro-MD"/>
        </w:rPr>
        <w:t xml:space="preserve"> </w:t>
      </w:r>
      <w:r w:rsidR="00DD65F9" w:rsidRPr="00DD65F9">
        <w:rPr>
          <w:color w:val="000000" w:themeColor="text1"/>
          <w:sz w:val="22"/>
          <w:szCs w:val="22"/>
          <w:lang w:val="ru-RU" w:eastAsia="ro-MD"/>
        </w:rPr>
        <w:t xml:space="preserve">Если </w:t>
      </w:r>
      <w:r w:rsidR="00820D61" w:rsidRPr="00DD65F9">
        <w:rPr>
          <w:color w:val="000000" w:themeColor="text1"/>
          <w:sz w:val="22"/>
          <w:szCs w:val="22"/>
          <w:lang w:val="ru-RU" w:eastAsia="ro-MD"/>
        </w:rPr>
        <w:t>базов</w:t>
      </w:r>
      <w:r w:rsidR="00820D61">
        <w:rPr>
          <w:color w:val="000000" w:themeColor="text1"/>
          <w:sz w:val="22"/>
          <w:szCs w:val="22"/>
          <w:lang w:val="ru-RU" w:eastAsia="ro-MD"/>
        </w:rPr>
        <w:t xml:space="preserve">ая </w:t>
      </w:r>
      <w:r w:rsidR="00820D61" w:rsidRPr="00DD65F9">
        <w:rPr>
          <w:color w:val="000000" w:themeColor="text1"/>
          <w:sz w:val="22"/>
          <w:szCs w:val="22"/>
          <w:lang w:val="ru-RU" w:eastAsia="ro-MD"/>
        </w:rPr>
        <w:t>ОКИ</w:t>
      </w:r>
      <w:r w:rsidR="00DD65F9" w:rsidRPr="00DD65F9">
        <w:rPr>
          <w:color w:val="000000" w:themeColor="text1"/>
          <w:sz w:val="22"/>
          <w:szCs w:val="22"/>
          <w:lang w:val="ru-RU" w:eastAsia="ro-MD"/>
        </w:rPr>
        <w:t xml:space="preserve"> сам имеет в составе организации коллективного инвестирования, банки могут использовать единицы или акции, которыми они владеют в первоначально</w:t>
      </w:r>
      <w:r w:rsidR="00800CF1">
        <w:rPr>
          <w:color w:val="000000" w:themeColor="text1"/>
          <w:sz w:val="22"/>
          <w:szCs w:val="22"/>
          <w:lang w:val="ru-RU" w:eastAsia="ro-MD"/>
        </w:rPr>
        <w:t>й</w:t>
      </w:r>
      <w:r w:rsidR="00DD65F9" w:rsidRPr="00DD65F9">
        <w:rPr>
          <w:color w:val="000000" w:themeColor="text1"/>
          <w:sz w:val="22"/>
          <w:szCs w:val="22"/>
          <w:lang w:val="ru-RU" w:eastAsia="ro-MD"/>
        </w:rPr>
        <w:t xml:space="preserve"> ОКИ, в качестве приемлемых реальных гарантий при условии применения методологии, предусмотренной в пункте</w:t>
      </w:r>
      <w:r w:rsidRPr="00DD65F9">
        <w:rPr>
          <w:color w:val="000000" w:themeColor="text1"/>
          <w:sz w:val="22"/>
          <w:szCs w:val="22"/>
          <w:lang w:val="ru-RU" w:eastAsia="ro-MD"/>
        </w:rPr>
        <w:t>28</w:t>
      </w:r>
      <w:r w:rsidRPr="00DD65F9">
        <w:rPr>
          <w:color w:val="000000" w:themeColor="text1"/>
          <w:sz w:val="22"/>
          <w:szCs w:val="22"/>
          <w:vertAlign w:val="superscript"/>
          <w:lang w:val="ru-RU" w:eastAsia="ro-MD"/>
        </w:rPr>
        <w:t>4</w:t>
      </w:r>
      <w:r w:rsidRPr="00DD65F9">
        <w:rPr>
          <w:color w:val="000000" w:themeColor="text1"/>
          <w:sz w:val="22"/>
          <w:szCs w:val="22"/>
          <w:lang w:val="ru-RU" w:eastAsia="ro-MD"/>
        </w:rPr>
        <w:t>.</w:t>
      </w:r>
    </w:p>
    <w:p w14:paraId="3DA10A53" w14:textId="2BDE7A5C" w:rsidR="00B168FB" w:rsidRPr="00C03FF6" w:rsidRDefault="00B168FB" w:rsidP="00A86E98">
      <w:pPr>
        <w:jc w:val="both"/>
        <w:rPr>
          <w:color w:val="000000" w:themeColor="text1"/>
          <w:sz w:val="22"/>
          <w:szCs w:val="22"/>
          <w:lang w:val="ru-RU" w:eastAsia="ro-MD"/>
        </w:rPr>
      </w:pPr>
      <w:r w:rsidRPr="00C03FF6">
        <w:rPr>
          <w:b/>
          <w:bCs/>
          <w:color w:val="000000" w:themeColor="text1"/>
          <w:sz w:val="22"/>
          <w:szCs w:val="22"/>
          <w:lang w:val="ru-RU" w:eastAsia="ro-MD"/>
        </w:rPr>
        <w:lastRenderedPageBreak/>
        <w:t>28</w:t>
      </w:r>
      <w:r w:rsidRPr="00C03FF6">
        <w:rPr>
          <w:b/>
          <w:bCs/>
          <w:color w:val="000000" w:themeColor="text1"/>
          <w:sz w:val="22"/>
          <w:szCs w:val="22"/>
          <w:vertAlign w:val="superscript"/>
          <w:lang w:val="ru-RU" w:eastAsia="ro-MD"/>
        </w:rPr>
        <w:t>6</w:t>
      </w:r>
      <w:r w:rsidRPr="00C03FF6">
        <w:rPr>
          <w:b/>
          <w:bCs/>
          <w:color w:val="000000" w:themeColor="text1"/>
          <w:sz w:val="22"/>
          <w:szCs w:val="22"/>
          <w:lang w:val="ru-RU" w:eastAsia="ro-MD"/>
        </w:rPr>
        <w:t>.</w:t>
      </w:r>
      <w:r w:rsidRPr="00C03FF6">
        <w:rPr>
          <w:color w:val="000000" w:themeColor="text1"/>
          <w:sz w:val="22"/>
          <w:szCs w:val="22"/>
          <w:lang w:val="ru-RU" w:eastAsia="ro-MD"/>
        </w:rPr>
        <w:t xml:space="preserve"> </w:t>
      </w:r>
      <w:r w:rsidR="00C03FF6" w:rsidRPr="00C03FF6">
        <w:rPr>
          <w:color w:val="000000" w:themeColor="text1"/>
          <w:sz w:val="22"/>
          <w:szCs w:val="22"/>
          <w:lang w:val="ru-RU" w:eastAsia="ro-MD"/>
        </w:rPr>
        <w:t>В случае если стоимость неприемлемых активов может оказаться отрицательной из-за обязательств или условных обязательств, вытекающих из права собственности, банки должны поступить следующим образом</w:t>
      </w:r>
      <w:r w:rsidRPr="00C03FF6">
        <w:rPr>
          <w:color w:val="000000" w:themeColor="text1"/>
          <w:sz w:val="22"/>
          <w:szCs w:val="22"/>
          <w:lang w:val="ru-RU" w:eastAsia="ro-MD"/>
        </w:rPr>
        <w:t>:</w:t>
      </w:r>
    </w:p>
    <w:p w14:paraId="6615DFED" w14:textId="11698625" w:rsidR="00B168FB" w:rsidRPr="00C03FF6" w:rsidRDefault="00B168FB" w:rsidP="00B168FB">
      <w:pPr>
        <w:ind w:firstLine="567"/>
        <w:jc w:val="both"/>
        <w:rPr>
          <w:color w:val="000000" w:themeColor="text1"/>
          <w:sz w:val="22"/>
          <w:szCs w:val="22"/>
          <w:lang w:val="ru-RU" w:eastAsia="ro-MD"/>
        </w:rPr>
      </w:pPr>
      <w:r w:rsidRPr="00C03FF6">
        <w:rPr>
          <w:color w:val="000000" w:themeColor="text1"/>
          <w:sz w:val="22"/>
          <w:szCs w:val="22"/>
          <w:lang w:val="ru-RU" w:eastAsia="ro-MD"/>
        </w:rPr>
        <w:t xml:space="preserve">1) </w:t>
      </w:r>
      <w:r w:rsidR="00C03FF6" w:rsidRPr="00C03FF6">
        <w:rPr>
          <w:color w:val="000000" w:themeColor="text1"/>
          <w:sz w:val="22"/>
          <w:szCs w:val="22"/>
          <w:lang w:val="ru-RU" w:eastAsia="ro-MD"/>
        </w:rPr>
        <w:t>рассчитать общую стоимость неприемлемых активов;</w:t>
      </w:r>
    </w:p>
    <w:p w14:paraId="3ECB810E" w14:textId="4734E0D0" w:rsidR="00B168FB" w:rsidRPr="00C03FF6" w:rsidRDefault="00B168FB" w:rsidP="0011444E">
      <w:pPr>
        <w:tabs>
          <w:tab w:val="left" w:pos="567"/>
        </w:tabs>
        <w:ind w:firstLine="567"/>
        <w:jc w:val="both"/>
        <w:rPr>
          <w:color w:val="000000" w:themeColor="text1"/>
          <w:sz w:val="22"/>
          <w:szCs w:val="22"/>
          <w:lang w:val="ru-RU"/>
        </w:rPr>
      </w:pPr>
      <w:r w:rsidRPr="00C03FF6">
        <w:rPr>
          <w:color w:val="000000" w:themeColor="text1"/>
          <w:sz w:val="22"/>
          <w:szCs w:val="22"/>
          <w:lang w:val="ru-RU" w:eastAsia="ro-MD"/>
        </w:rPr>
        <w:t xml:space="preserve">2) </w:t>
      </w:r>
      <w:r w:rsidR="00C03FF6" w:rsidRPr="00C03FF6">
        <w:rPr>
          <w:color w:val="000000" w:themeColor="text1"/>
          <w:sz w:val="22"/>
          <w:szCs w:val="22"/>
          <w:lang w:val="ru-RU" w:eastAsia="ro-MD"/>
        </w:rPr>
        <w:t>если сумма, полученная в соответствии с подпунктом 1), является отрицательной, вычесть абсолютную величину этой суммы из общей стоимости приемлемых активов</w:t>
      </w:r>
      <w:r w:rsidRPr="00C03FF6">
        <w:rPr>
          <w:color w:val="000000" w:themeColor="text1"/>
          <w:sz w:val="22"/>
          <w:szCs w:val="22"/>
          <w:lang w:val="ru-RU" w:eastAsia="ro-MD"/>
        </w:rPr>
        <w:t>.</w:t>
      </w:r>
      <w:r w:rsidR="00C03FF6">
        <w:rPr>
          <w:color w:val="000000" w:themeColor="text1"/>
          <w:sz w:val="22"/>
          <w:szCs w:val="22"/>
          <w:lang w:val="ru-RU" w:eastAsia="ro-MD"/>
        </w:rPr>
        <w:t>»</w:t>
      </w:r>
      <w:r w:rsidRPr="00C03FF6">
        <w:rPr>
          <w:color w:val="000000" w:themeColor="text1"/>
          <w:sz w:val="22"/>
          <w:szCs w:val="22"/>
          <w:lang w:val="ru-RU" w:eastAsia="ro-MD"/>
        </w:rPr>
        <w:t>.</w:t>
      </w:r>
    </w:p>
    <w:p w14:paraId="0EA806DF" w14:textId="3C59B439" w:rsidR="00BD35F9" w:rsidRPr="00884D1F" w:rsidRDefault="0059307D"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Пункт</w:t>
      </w:r>
      <w:r w:rsidR="00F9105A" w:rsidRPr="00884D1F">
        <w:rPr>
          <w:color w:val="000000" w:themeColor="text1"/>
          <w:sz w:val="22"/>
          <w:szCs w:val="22"/>
          <w:lang w:val="ro-MD"/>
        </w:rPr>
        <w:t xml:space="preserve"> </w:t>
      </w:r>
      <w:r w:rsidR="00BD35F9" w:rsidRPr="00884D1F">
        <w:rPr>
          <w:color w:val="000000" w:themeColor="text1"/>
          <w:sz w:val="22"/>
          <w:szCs w:val="22"/>
          <w:lang w:val="ro-MD"/>
        </w:rPr>
        <w:t xml:space="preserve">33 </w:t>
      </w:r>
      <w:r>
        <w:rPr>
          <w:color w:val="000000" w:themeColor="text1"/>
          <w:sz w:val="22"/>
          <w:szCs w:val="22"/>
          <w:lang w:val="ru-RU"/>
        </w:rPr>
        <w:t>изложить в следующей редакции</w:t>
      </w:r>
      <w:r w:rsidR="00BD35F9" w:rsidRPr="00884D1F">
        <w:rPr>
          <w:color w:val="000000" w:themeColor="text1"/>
          <w:sz w:val="22"/>
          <w:szCs w:val="22"/>
          <w:lang w:val="ro-MD"/>
        </w:rPr>
        <w:t>:</w:t>
      </w:r>
    </w:p>
    <w:p w14:paraId="56D5CE03" w14:textId="582B6D38" w:rsidR="00BD35F9" w:rsidRPr="00BC225A" w:rsidRDefault="0059307D" w:rsidP="00BD35F9">
      <w:pPr>
        <w:jc w:val="both"/>
        <w:rPr>
          <w:color w:val="000000" w:themeColor="text1"/>
          <w:sz w:val="22"/>
          <w:szCs w:val="22"/>
          <w:lang w:val="ro-RO" w:eastAsia="ro-MD"/>
        </w:rPr>
      </w:pPr>
      <w:r w:rsidRPr="00BC225A">
        <w:rPr>
          <w:b/>
          <w:bCs/>
          <w:color w:val="000000" w:themeColor="text1"/>
          <w:sz w:val="22"/>
          <w:szCs w:val="22"/>
          <w:lang w:val="ru-RU"/>
        </w:rPr>
        <w:t>«</w:t>
      </w:r>
      <w:r w:rsidR="00BD35F9" w:rsidRPr="00BC225A">
        <w:rPr>
          <w:b/>
          <w:bCs/>
          <w:color w:val="000000" w:themeColor="text1"/>
          <w:sz w:val="22"/>
          <w:szCs w:val="22"/>
          <w:lang w:val="ro-MD"/>
        </w:rPr>
        <w:t>33.</w:t>
      </w:r>
      <w:r w:rsidR="00BD35F9" w:rsidRPr="00BC225A">
        <w:rPr>
          <w:color w:val="000000" w:themeColor="text1"/>
          <w:sz w:val="22"/>
          <w:szCs w:val="22"/>
          <w:lang w:val="ro-MD"/>
        </w:rPr>
        <w:t xml:space="preserve"> </w:t>
      </w:r>
      <w:r w:rsidR="004A7DA1" w:rsidRPr="00BC225A">
        <w:rPr>
          <w:sz w:val="22"/>
          <w:szCs w:val="22"/>
          <w:lang w:val="ru-RU" w:eastAsia="ro-MD"/>
        </w:rPr>
        <w:t xml:space="preserve">В случае, если ОКИ или любая базовая ОКИ не ограничена в инвестициях в инструменты, которые приемлемы для признания на основании пунктов 25 и 28, и инвестициях в элементы, указанные в подпункте 1) пункта 30, </w:t>
      </w:r>
      <w:r w:rsidR="00BC225A" w:rsidRPr="00BC225A">
        <w:rPr>
          <w:sz w:val="22"/>
          <w:szCs w:val="22"/>
          <w:lang w:val="ru-RU" w:eastAsia="ro-MD"/>
        </w:rPr>
        <w:t>применяются следующие положения</w:t>
      </w:r>
      <w:r w:rsidR="00BD35F9" w:rsidRPr="00BC225A">
        <w:rPr>
          <w:color w:val="000000" w:themeColor="text1"/>
          <w:sz w:val="22"/>
          <w:szCs w:val="22"/>
          <w:lang w:val="ro-RO" w:eastAsia="ro-MD"/>
        </w:rPr>
        <w:t xml:space="preserve">: </w:t>
      </w:r>
    </w:p>
    <w:p w14:paraId="75663117" w14:textId="6626C2AD" w:rsidR="00820D61" w:rsidRPr="00820D61" w:rsidRDefault="00BD35F9" w:rsidP="00820D61">
      <w:pPr>
        <w:ind w:firstLine="567"/>
        <w:jc w:val="both"/>
        <w:rPr>
          <w:color w:val="000000" w:themeColor="text1"/>
          <w:sz w:val="22"/>
          <w:szCs w:val="22"/>
          <w:lang w:val="ru-RU" w:eastAsia="ro-MD"/>
        </w:rPr>
      </w:pPr>
      <w:r w:rsidRPr="00884D1F">
        <w:rPr>
          <w:color w:val="000000" w:themeColor="text1"/>
          <w:sz w:val="22"/>
          <w:szCs w:val="22"/>
          <w:lang w:val="ro-RO" w:eastAsia="ro-MD"/>
        </w:rPr>
        <w:t xml:space="preserve">1) </w:t>
      </w:r>
      <w:r w:rsidR="00820D61" w:rsidRPr="00820D61">
        <w:rPr>
          <w:color w:val="000000" w:themeColor="text1"/>
          <w:sz w:val="22"/>
          <w:szCs w:val="22"/>
          <w:lang w:val="ru-RU" w:eastAsia="ro-MD"/>
        </w:rPr>
        <w:t>если банки применяют прозрачный подход типа «</w:t>
      </w:r>
      <w:proofErr w:type="spellStart"/>
      <w:r w:rsidR="00820D61" w:rsidRPr="00820D61">
        <w:rPr>
          <w:color w:val="000000" w:themeColor="text1"/>
          <w:sz w:val="22"/>
          <w:szCs w:val="22"/>
          <w:lang w:val="ru-RU" w:eastAsia="ro-MD"/>
        </w:rPr>
        <w:t>look-through</w:t>
      </w:r>
      <w:proofErr w:type="spellEnd"/>
      <w:r w:rsidR="00820D61" w:rsidRPr="00820D61">
        <w:rPr>
          <w:color w:val="000000" w:themeColor="text1"/>
          <w:sz w:val="22"/>
          <w:szCs w:val="22"/>
          <w:lang w:val="ru-RU" w:eastAsia="ro-MD"/>
        </w:rPr>
        <w:t>», упомянутый в Положении № 111/ 2018 или нормативный акт Национального банка Молдовы</w:t>
      </w:r>
      <w:r w:rsidR="00820D61">
        <w:rPr>
          <w:color w:val="000000" w:themeColor="text1"/>
          <w:sz w:val="22"/>
          <w:szCs w:val="22"/>
          <w:lang w:val="ru-RU" w:eastAsia="ro-MD"/>
        </w:rPr>
        <w:t xml:space="preserve"> </w:t>
      </w:r>
      <w:r w:rsidR="00820D61" w:rsidRPr="00A672CD">
        <w:rPr>
          <w:color w:val="000000" w:themeColor="text1"/>
          <w:sz w:val="22"/>
          <w:szCs w:val="22"/>
          <w:lang w:val="ru-RU" w:eastAsia="ro-MD"/>
        </w:rPr>
        <w:t xml:space="preserve">об отношении </w:t>
      </w:r>
      <w:r w:rsidR="000728FD">
        <w:rPr>
          <w:color w:val="000000" w:themeColor="text1"/>
          <w:sz w:val="22"/>
          <w:szCs w:val="22"/>
          <w:lang w:val="ru-RU" w:eastAsia="ro-MD"/>
        </w:rPr>
        <w:t>к кредитному риску в соответствии с подходом</w:t>
      </w:r>
      <w:r w:rsidR="00820D61" w:rsidRPr="00820D61">
        <w:rPr>
          <w:color w:val="000000" w:themeColor="text1"/>
          <w:sz w:val="22"/>
          <w:szCs w:val="22"/>
          <w:lang w:val="ru-RU" w:eastAsia="ro-MD"/>
        </w:rPr>
        <w:t xml:space="preserve">, основанным на внутренних рейтинговых моделях, могут использовать единицы  или акции, которыми они владеют в данной ОКИ, в качестве реальных гарантий на сумму, равную стоимости инструментов, приемлемых в соответствии с пунктами 25 и 28, и инструментов , указанных в пункте 30 подпункте 1); </w:t>
      </w:r>
    </w:p>
    <w:p w14:paraId="38A43AAA" w14:textId="3434C681" w:rsidR="00A70022" w:rsidRPr="00884D1F" w:rsidRDefault="00BD35F9" w:rsidP="00820D61">
      <w:pPr>
        <w:ind w:firstLine="567"/>
        <w:jc w:val="both"/>
        <w:rPr>
          <w:color w:val="000000" w:themeColor="text1"/>
          <w:sz w:val="22"/>
          <w:szCs w:val="22"/>
          <w:lang w:val="ro-MD"/>
        </w:rPr>
      </w:pPr>
      <w:r w:rsidRPr="00884D1F">
        <w:rPr>
          <w:color w:val="000000" w:themeColor="text1"/>
          <w:sz w:val="22"/>
          <w:szCs w:val="22"/>
          <w:lang w:val="ro-RO" w:eastAsia="ro-MD"/>
        </w:rPr>
        <w:t xml:space="preserve">2) </w:t>
      </w:r>
      <w:r w:rsidR="009F5BD3" w:rsidRPr="00C01CE1">
        <w:rPr>
          <w:color w:val="000000" w:themeColor="text1"/>
          <w:sz w:val="22"/>
          <w:szCs w:val="22"/>
          <w:lang w:val="ru-RU" w:eastAsia="ro-MD"/>
        </w:rPr>
        <w:t xml:space="preserve">если банки применяют подход на основе мандата, указанный в Регламенте № 111/2018 или в нормативном акте Национального банка Молдовы об отношении </w:t>
      </w:r>
      <w:r w:rsidR="000728FD">
        <w:rPr>
          <w:color w:val="000000" w:themeColor="text1"/>
          <w:sz w:val="22"/>
          <w:szCs w:val="22"/>
          <w:lang w:val="ru-RU" w:eastAsia="ro-MD"/>
        </w:rPr>
        <w:t>к кредитному риску в соответствии с подходом</w:t>
      </w:r>
      <w:r w:rsidR="009F5BD3" w:rsidRPr="00C01CE1">
        <w:rPr>
          <w:color w:val="000000" w:themeColor="text1"/>
          <w:sz w:val="22"/>
          <w:szCs w:val="22"/>
          <w:lang w:val="ru-RU" w:eastAsia="ro-MD"/>
        </w:rPr>
        <w:t>, основанным на внутренних рейтинговых моделях для прямых подверженностей перед ОКИ, они могут использовать единицы или акции, которыми они владеют в данно</w:t>
      </w:r>
      <w:r w:rsidR="009F5BD3">
        <w:rPr>
          <w:color w:val="000000" w:themeColor="text1"/>
          <w:sz w:val="22"/>
          <w:szCs w:val="22"/>
          <w:lang w:val="ru-RU" w:eastAsia="ro-MD"/>
        </w:rPr>
        <w:t>й</w:t>
      </w:r>
      <w:r w:rsidR="009F5BD3" w:rsidRPr="00C01CE1">
        <w:rPr>
          <w:color w:val="000000" w:themeColor="text1"/>
          <w:sz w:val="22"/>
          <w:szCs w:val="22"/>
          <w:lang w:val="ru-RU" w:eastAsia="ro-MD"/>
        </w:rPr>
        <w:t xml:space="preserve"> ОКИ, в качестве реальных гарантий на сумму, равную стоимости инструментов, находящихся во владении данно</w:t>
      </w:r>
      <w:r w:rsidR="009F5BD3">
        <w:rPr>
          <w:color w:val="000000" w:themeColor="text1"/>
          <w:sz w:val="22"/>
          <w:szCs w:val="22"/>
          <w:lang w:val="ru-RU" w:eastAsia="ro-MD"/>
        </w:rPr>
        <w:t>й</w:t>
      </w:r>
      <w:r w:rsidR="009F5BD3" w:rsidRPr="00C01CE1">
        <w:rPr>
          <w:color w:val="000000" w:themeColor="text1"/>
          <w:sz w:val="22"/>
          <w:szCs w:val="22"/>
          <w:lang w:val="ru-RU" w:eastAsia="ro-MD"/>
        </w:rPr>
        <w:t xml:space="preserve"> ОКИ, которые являются приемлемыми в соответствии с пунктами 25 и 28</w:t>
      </w:r>
      <w:r w:rsidR="00097AA5">
        <w:rPr>
          <w:color w:val="000000" w:themeColor="text1"/>
          <w:sz w:val="22"/>
          <w:szCs w:val="22"/>
          <w:lang w:val="ru-RU" w:eastAsia="ro-MD"/>
        </w:rPr>
        <w:t xml:space="preserve">, </w:t>
      </w:r>
      <w:r w:rsidR="00097AA5" w:rsidRPr="00097AA5">
        <w:rPr>
          <w:color w:val="000000" w:themeColor="text1"/>
          <w:sz w:val="22"/>
          <w:szCs w:val="22"/>
          <w:lang w:val="ru-RU" w:eastAsia="ro-MD"/>
        </w:rPr>
        <w:t>а также инструментов, упомянутых в пункте 30 подпункте 1) при условии, что</w:t>
      </w:r>
      <w:r w:rsidR="009F5BD3" w:rsidRPr="00C01CE1">
        <w:rPr>
          <w:color w:val="000000" w:themeColor="text1"/>
          <w:sz w:val="22"/>
          <w:szCs w:val="22"/>
          <w:lang w:val="ru-RU" w:eastAsia="ro-MD"/>
        </w:rPr>
        <w:t xml:space="preserve"> данн</w:t>
      </w:r>
      <w:r w:rsidR="009F5BD3">
        <w:rPr>
          <w:color w:val="000000" w:themeColor="text1"/>
          <w:sz w:val="22"/>
          <w:szCs w:val="22"/>
          <w:lang w:val="ru-RU" w:eastAsia="ro-MD"/>
        </w:rPr>
        <w:t>ая</w:t>
      </w:r>
      <w:r w:rsidR="009F5BD3" w:rsidRPr="00C01CE1">
        <w:rPr>
          <w:color w:val="000000" w:themeColor="text1"/>
          <w:sz w:val="22"/>
          <w:szCs w:val="22"/>
          <w:lang w:val="ru-RU" w:eastAsia="ro-MD"/>
        </w:rPr>
        <w:t xml:space="preserve"> ОКИ или любой из его базовых ОКИ инвестировал в неприемлемые инструменты в максимальном объеме, допускаемом их мандатами</w:t>
      </w:r>
      <w:r w:rsidRPr="00884D1F">
        <w:rPr>
          <w:color w:val="000000" w:themeColor="text1"/>
          <w:sz w:val="22"/>
          <w:szCs w:val="22"/>
          <w:lang w:val="ro-RO" w:eastAsia="ro-MD"/>
        </w:rPr>
        <w:t>.</w:t>
      </w:r>
      <w:r w:rsidR="00097AA5">
        <w:rPr>
          <w:color w:val="000000" w:themeColor="text1"/>
          <w:sz w:val="22"/>
          <w:szCs w:val="22"/>
          <w:lang w:val="ru-RU" w:eastAsia="ro-MD"/>
        </w:rPr>
        <w:t>»</w:t>
      </w:r>
      <w:r w:rsidR="00F9105A" w:rsidRPr="00884D1F">
        <w:rPr>
          <w:color w:val="000000" w:themeColor="text1"/>
          <w:sz w:val="22"/>
          <w:szCs w:val="22"/>
          <w:lang w:val="ro-MD"/>
        </w:rPr>
        <w:t>.</w:t>
      </w:r>
    </w:p>
    <w:p w14:paraId="45283157" w14:textId="31546345" w:rsidR="00530933" w:rsidRPr="00884D1F" w:rsidRDefault="00097AA5" w:rsidP="009F4267">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 пункте</w:t>
      </w:r>
      <w:r w:rsidR="000374C5" w:rsidRPr="00884D1F">
        <w:rPr>
          <w:color w:val="000000" w:themeColor="text1"/>
          <w:sz w:val="22"/>
          <w:szCs w:val="22"/>
          <w:lang w:val="ro-MD"/>
        </w:rPr>
        <w:t xml:space="preserve"> 34</w:t>
      </w:r>
      <w:r w:rsidR="00530933" w:rsidRPr="00884D1F">
        <w:rPr>
          <w:color w:val="000000" w:themeColor="text1"/>
          <w:sz w:val="22"/>
          <w:szCs w:val="22"/>
          <w:lang w:val="ro-MD"/>
        </w:rPr>
        <w:t>:</w:t>
      </w:r>
    </w:p>
    <w:p w14:paraId="44449D93" w14:textId="710A0790" w:rsidR="00530933" w:rsidRPr="008322F7" w:rsidRDefault="00097AA5" w:rsidP="009F4267">
      <w:pPr>
        <w:pStyle w:val="ListParagraph"/>
        <w:numPr>
          <w:ilvl w:val="2"/>
          <w:numId w:val="27"/>
        </w:numPr>
        <w:tabs>
          <w:tab w:val="left" w:pos="567"/>
        </w:tabs>
        <w:spacing w:before="80"/>
        <w:ind w:left="0" w:firstLine="567"/>
        <w:contextualSpacing w:val="0"/>
        <w:jc w:val="both"/>
        <w:rPr>
          <w:color w:val="000000" w:themeColor="text1"/>
          <w:sz w:val="22"/>
          <w:szCs w:val="22"/>
          <w:lang w:val="ru-MD"/>
        </w:rPr>
      </w:pPr>
      <w:r w:rsidRPr="008322F7">
        <w:rPr>
          <w:color w:val="000000" w:themeColor="text1"/>
          <w:sz w:val="22"/>
          <w:szCs w:val="22"/>
          <w:lang w:val="ru-MD"/>
        </w:rPr>
        <w:t>слово</w:t>
      </w:r>
      <w:r w:rsidR="00530933" w:rsidRPr="008322F7">
        <w:rPr>
          <w:color w:val="000000" w:themeColor="text1"/>
          <w:sz w:val="22"/>
          <w:szCs w:val="22"/>
          <w:lang w:val="ru-MD"/>
        </w:rPr>
        <w:t xml:space="preserve"> </w:t>
      </w:r>
      <w:r w:rsidRPr="008322F7">
        <w:rPr>
          <w:color w:val="000000" w:themeColor="text1"/>
          <w:sz w:val="22"/>
          <w:szCs w:val="22"/>
          <w:lang w:val="ru-MD"/>
        </w:rPr>
        <w:t>«активы» заменить словом «инструменты»</w:t>
      </w:r>
      <w:r w:rsidR="00530933" w:rsidRPr="008322F7">
        <w:rPr>
          <w:color w:val="000000" w:themeColor="text1"/>
          <w:sz w:val="22"/>
          <w:szCs w:val="22"/>
          <w:lang w:val="ru-MD"/>
        </w:rPr>
        <w:t>;</w:t>
      </w:r>
    </w:p>
    <w:p w14:paraId="3FC6ABEB" w14:textId="297A455B" w:rsidR="00BD35F9" w:rsidRPr="008322F7" w:rsidRDefault="00097AA5" w:rsidP="009F4267">
      <w:pPr>
        <w:pStyle w:val="ListParagraph"/>
        <w:numPr>
          <w:ilvl w:val="2"/>
          <w:numId w:val="27"/>
        </w:numPr>
        <w:tabs>
          <w:tab w:val="left" w:pos="567"/>
        </w:tabs>
        <w:spacing w:before="80"/>
        <w:ind w:left="0" w:firstLine="567"/>
        <w:contextualSpacing w:val="0"/>
        <w:jc w:val="both"/>
        <w:rPr>
          <w:color w:val="000000" w:themeColor="text1"/>
          <w:sz w:val="22"/>
          <w:szCs w:val="22"/>
          <w:lang w:val="ru-MD"/>
        </w:rPr>
      </w:pPr>
      <w:r w:rsidRPr="008322F7">
        <w:rPr>
          <w:color w:val="000000" w:themeColor="text1"/>
          <w:sz w:val="22"/>
          <w:szCs w:val="22"/>
          <w:lang w:val="ru-MD"/>
        </w:rPr>
        <w:t xml:space="preserve">в </w:t>
      </w:r>
      <w:r w:rsidR="008322F7" w:rsidRPr="008322F7">
        <w:rPr>
          <w:color w:val="000000" w:themeColor="text1"/>
          <w:sz w:val="22"/>
          <w:szCs w:val="22"/>
          <w:lang w:val="ru-MD"/>
        </w:rPr>
        <w:t>подпунктах 1</w:t>
      </w:r>
      <w:r w:rsidR="00530933" w:rsidRPr="008322F7">
        <w:rPr>
          <w:color w:val="000000" w:themeColor="text1"/>
          <w:sz w:val="22"/>
          <w:szCs w:val="22"/>
          <w:lang w:val="ru-MD"/>
        </w:rPr>
        <w:t xml:space="preserve">) </w:t>
      </w:r>
      <w:r w:rsidRPr="008322F7">
        <w:rPr>
          <w:color w:val="000000" w:themeColor="text1"/>
          <w:sz w:val="22"/>
          <w:szCs w:val="22"/>
          <w:lang w:val="ru-MD"/>
        </w:rPr>
        <w:t>и</w:t>
      </w:r>
      <w:r w:rsidR="00530933" w:rsidRPr="008322F7">
        <w:rPr>
          <w:color w:val="000000" w:themeColor="text1"/>
          <w:sz w:val="22"/>
          <w:szCs w:val="22"/>
          <w:lang w:val="ru-MD"/>
        </w:rPr>
        <w:t xml:space="preserve"> 2) </w:t>
      </w:r>
      <w:r w:rsidRPr="008322F7">
        <w:rPr>
          <w:color w:val="000000" w:themeColor="text1"/>
          <w:sz w:val="22"/>
          <w:szCs w:val="22"/>
          <w:lang w:val="ru-MD"/>
        </w:rPr>
        <w:t xml:space="preserve">слова «активов» заменить словом </w:t>
      </w:r>
      <w:r w:rsidR="008322F7" w:rsidRPr="008322F7">
        <w:rPr>
          <w:color w:val="000000" w:themeColor="text1"/>
          <w:sz w:val="22"/>
          <w:szCs w:val="22"/>
          <w:lang w:val="ru-MD"/>
        </w:rPr>
        <w:t>«инструментов»</w:t>
      </w:r>
      <w:r w:rsidR="000374C5" w:rsidRPr="008322F7">
        <w:rPr>
          <w:color w:val="000000" w:themeColor="text1"/>
          <w:sz w:val="22"/>
          <w:szCs w:val="22"/>
          <w:lang w:val="ru-MD"/>
        </w:rPr>
        <w:t>.</w:t>
      </w:r>
    </w:p>
    <w:p w14:paraId="58EFC7A6" w14:textId="392DFA0E" w:rsidR="001221A2" w:rsidRPr="008322F7" w:rsidRDefault="008322F7" w:rsidP="009F4267">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8322F7">
        <w:rPr>
          <w:color w:val="000000" w:themeColor="text1"/>
          <w:sz w:val="22"/>
          <w:szCs w:val="22"/>
          <w:lang w:val="ru-MD"/>
        </w:rPr>
        <w:t xml:space="preserve">После Части </w:t>
      </w:r>
      <w:r w:rsidR="001221A2" w:rsidRPr="008322F7">
        <w:rPr>
          <w:color w:val="000000" w:themeColor="text1"/>
          <w:sz w:val="22"/>
          <w:szCs w:val="22"/>
          <w:lang w:val="ru-MD"/>
        </w:rPr>
        <w:t>4</w:t>
      </w:r>
      <w:r w:rsidRPr="008322F7">
        <w:rPr>
          <w:color w:val="000000" w:themeColor="text1"/>
          <w:sz w:val="22"/>
          <w:szCs w:val="22"/>
          <w:lang w:val="ru-MD"/>
        </w:rPr>
        <w:t xml:space="preserve"> Главы III дополнить частью</w:t>
      </w:r>
      <w:r w:rsidR="001221A2" w:rsidRPr="008322F7">
        <w:rPr>
          <w:color w:val="000000" w:themeColor="text1"/>
          <w:sz w:val="22"/>
          <w:szCs w:val="22"/>
          <w:lang w:val="ru-MD"/>
        </w:rPr>
        <w:t xml:space="preserve"> 4</w:t>
      </w:r>
      <w:r w:rsidR="001221A2" w:rsidRPr="008322F7">
        <w:rPr>
          <w:color w:val="000000" w:themeColor="text1"/>
          <w:sz w:val="22"/>
          <w:szCs w:val="22"/>
          <w:vertAlign w:val="superscript"/>
          <w:lang w:val="ru-MD"/>
        </w:rPr>
        <w:t>1</w:t>
      </w:r>
      <w:r w:rsidRPr="008322F7">
        <w:rPr>
          <w:color w:val="000000" w:themeColor="text1"/>
          <w:sz w:val="22"/>
          <w:szCs w:val="22"/>
          <w:vertAlign w:val="superscript"/>
          <w:lang w:val="ru-MD"/>
        </w:rPr>
        <w:t xml:space="preserve"> </w:t>
      </w:r>
      <w:r w:rsidRPr="008322F7">
        <w:rPr>
          <w:color w:val="000000" w:themeColor="text1"/>
          <w:sz w:val="22"/>
          <w:szCs w:val="22"/>
          <w:lang w:val="ru-MD"/>
        </w:rPr>
        <w:t>следующего содержания</w:t>
      </w:r>
      <w:r w:rsidR="001221A2" w:rsidRPr="008322F7">
        <w:rPr>
          <w:color w:val="000000" w:themeColor="text1"/>
          <w:sz w:val="22"/>
          <w:szCs w:val="22"/>
          <w:lang w:val="ru-MD"/>
        </w:rPr>
        <w:t>:</w:t>
      </w:r>
    </w:p>
    <w:p w14:paraId="5BBD09B5" w14:textId="4967C2BD" w:rsidR="0011444E" w:rsidRPr="00884D1F" w:rsidRDefault="008322F7" w:rsidP="009F4267">
      <w:pPr>
        <w:ind w:firstLine="567"/>
        <w:jc w:val="center"/>
        <w:rPr>
          <w:color w:val="000000" w:themeColor="text1"/>
          <w:sz w:val="22"/>
          <w:szCs w:val="22"/>
          <w:lang w:val="ro-RO" w:eastAsia="ro-MD"/>
        </w:rPr>
      </w:pPr>
      <w:r>
        <w:rPr>
          <w:b/>
          <w:bCs/>
          <w:i/>
          <w:iCs/>
          <w:color w:val="000000" w:themeColor="text1"/>
          <w:sz w:val="22"/>
          <w:szCs w:val="22"/>
          <w:lang w:val="ru-RU" w:eastAsia="ro-MD"/>
        </w:rPr>
        <w:t xml:space="preserve">«Часть </w:t>
      </w:r>
      <w:r w:rsidR="0011444E" w:rsidRPr="00884D1F">
        <w:rPr>
          <w:b/>
          <w:bCs/>
          <w:i/>
          <w:iCs/>
          <w:color w:val="000000" w:themeColor="text1"/>
          <w:sz w:val="22"/>
          <w:szCs w:val="22"/>
          <w:lang w:val="ro-RO" w:eastAsia="ro-MD"/>
        </w:rPr>
        <w:t>4</w:t>
      </w:r>
      <w:r w:rsidR="0011444E" w:rsidRPr="00884D1F">
        <w:rPr>
          <w:b/>
          <w:bCs/>
          <w:i/>
          <w:iCs/>
          <w:color w:val="000000" w:themeColor="text1"/>
          <w:sz w:val="22"/>
          <w:szCs w:val="22"/>
          <w:vertAlign w:val="superscript"/>
          <w:lang w:val="ro-RO" w:eastAsia="ro-MD"/>
        </w:rPr>
        <w:t>1</w:t>
      </w:r>
    </w:p>
    <w:p w14:paraId="3F3D9946" w14:textId="77777777" w:rsidR="00DC03FF" w:rsidRPr="00DC03FF" w:rsidRDefault="00DC03FF" w:rsidP="00DC03FF">
      <w:pPr>
        <w:jc w:val="center"/>
        <w:rPr>
          <w:b/>
          <w:bCs/>
          <w:i/>
          <w:iCs/>
          <w:color w:val="000000" w:themeColor="text1"/>
          <w:sz w:val="22"/>
          <w:szCs w:val="22"/>
          <w:lang w:val="ru-RU" w:eastAsia="ro-MD"/>
        </w:rPr>
      </w:pPr>
      <w:r w:rsidRPr="00DC03FF">
        <w:rPr>
          <w:b/>
          <w:bCs/>
          <w:i/>
          <w:iCs/>
          <w:color w:val="000000" w:themeColor="text1"/>
          <w:sz w:val="22"/>
          <w:szCs w:val="22"/>
          <w:lang w:val="ru-RU" w:eastAsia="ro-MD"/>
        </w:rPr>
        <w:t>Дополнительные критерии приемлемости реальных гарантий в рамках подхода IRB</w:t>
      </w:r>
    </w:p>
    <w:p w14:paraId="39A1117F" w14:textId="17D15844" w:rsidR="0011444E" w:rsidRPr="00BF6F08" w:rsidRDefault="0011444E" w:rsidP="00930587">
      <w:pPr>
        <w:jc w:val="both"/>
        <w:rPr>
          <w:color w:val="000000" w:themeColor="text1"/>
          <w:sz w:val="22"/>
          <w:szCs w:val="22"/>
          <w:lang w:val="ru-RU" w:eastAsia="ro-MD"/>
        </w:rPr>
      </w:pPr>
      <w:r w:rsidRPr="00BF6F08">
        <w:rPr>
          <w:b/>
          <w:bCs/>
          <w:color w:val="000000" w:themeColor="text1"/>
          <w:sz w:val="22"/>
          <w:szCs w:val="22"/>
          <w:lang w:val="ru-RU" w:eastAsia="ro-MD"/>
        </w:rPr>
        <w:t>34</w:t>
      </w:r>
      <w:r w:rsidRPr="00BF6F08">
        <w:rPr>
          <w:b/>
          <w:bCs/>
          <w:color w:val="000000" w:themeColor="text1"/>
          <w:sz w:val="22"/>
          <w:szCs w:val="22"/>
          <w:vertAlign w:val="superscript"/>
          <w:lang w:val="ru-RU" w:eastAsia="ro-MD"/>
        </w:rPr>
        <w:t>1</w:t>
      </w:r>
      <w:r w:rsidRPr="00BF6F08">
        <w:rPr>
          <w:b/>
          <w:bCs/>
          <w:color w:val="000000" w:themeColor="text1"/>
          <w:sz w:val="22"/>
          <w:szCs w:val="22"/>
          <w:lang w:val="ru-RU" w:eastAsia="ro-MD"/>
        </w:rPr>
        <w:t>.</w:t>
      </w:r>
      <w:r w:rsidRPr="00BF6F08">
        <w:rPr>
          <w:color w:val="000000" w:themeColor="text1"/>
          <w:sz w:val="22"/>
          <w:szCs w:val="22"/>
          <w:lang w:val="ru-RU" w:eastAsia="ro-MD"/>
        </w:rPr>
        <w:t xml:space="preserve"> </w:t>
      </w:r>
      <w:r w:rsidR="00613117" w:rsidRPr="00BF6F08">
        <w:rPr>
          <w:color w:val="000000" w:themeColor="text1"/>
          <w:sz w:val="22"/>
          <w:szCs w:val="22"/>
          <w:lang w:val="ru-RU" w:eastAsia="ro-MD"/>
        </w:rPr>
        <w:t>В дополнение к реальным гарантиям, указанных в пунктах 25–34, банки, рассчитывающие взвешенные по риску суммы подверженностей и величины ожидаемых убытков в соответствии с подходом IRB, могут также использовать следующие виды обеспечения</w:t>
      </w:r>
      <w:r w:rsidRPr="00BF6F08">
        <w:rPr>
          <w:color w:val="000000" w:themeColor="text1"/>
          <w:sz w:val="22"/>
          <w:szCs w:val="22"/>
          <w:lang w:val="ru-RU" w:eastAsia="ro-MD"/>
        </w:rPr>
        <w:t>:</w:t>
      </w:r>
    </w:p>
    <w:p w14:paraId="732919EA" w14:textId="4EE2B7EE" w:rsidR="0011444E" w:rsidRPr="00BF6F08" w:rsidRDefault="0011444E" w:rsidP="0011444E">
      <w:pPr>
        <w:ind w:firstLine="567"/>
        <w:jc w:val="both"/>
        <w:rPr>
          <w:color w:val="000000" w:themeColor="text1"/>
          <w:sz w:val="22"/>
          <w:szCs w:val="22"/>
          <w:lang w:val="ru-RU" w:eastAsia="ro-MD"/>
        </w:rPr>
      </w:pPr>
      <w:r w:rsidRPr="00BF6F08">
        <w:rPr>
          <w:color w:val="000000" w:themeColor="text1"/>
          <w:sz w:val="22"/>
          <w:szCs w:val="22"/>
          <w:lang w:val="ru-RU" w:eastAsia="ro-MD"/>
        </w:rPr>
        <w:t xml:space="preserve">1) </w:t>
      </w:r>
      <w:r w:rsidR="00613117" w:rsidRPr="00BF6F08">
        <w:rPr>
          <w:color w:val="000000" w:themeColor="text1"/>
          <w:sz w:val="22"/>
          <w:szCs w:val="22"/>
          <w:lang w:val="ru-RU" w:eastAsia="ro-MD"/>
        </w:rPr>
        <w:t>обеспечение в виде недвижимого имущества в соответствии с пунктами</w:t>
      </w:r>
      <w:r w:rsidRPr="00BF6F08">
        <w:rPr>
          <w:color w:val="000000" w:themeColor="text1"/>
          <w:sz w:val="22"/>
          <w:szCs w:val="22"/>
          <w:lang w:val="ru-RU" w:eastAsia="ro-MD"/>
        </w:rPr>
        <w:t xml:space="preserve"> </w:t>
      </w:r>
      <w:proofErr w:type="gramStart"/>
      <w:r w:rsidRPr="00BF6F08">
        <w:rPr>
          <w:color w:val="000000" w:themeColor="text1"/>
          <w:sz w:val="22"/>
          <w:szCs w:val="22"/>
          <w:lang w:val="ru-RU" w:eastAsia="ro-MD"/>
        </w:rPr>
        <w:t>34</w:t>
      </w:r>
      <w:r w:rsidRPr="00BF6F08">
        <w:rPr>
          <w:color w:val="000000" w:themeColor="text1"/>
          <w:sz w:val="22"/>
          <w:szCs w:val="22"/>
          <w:vertAlign w:val="superscript"/>
          <w:lang w:val="ru-RU" w:eastAsia="ro-MD"/>
        </w:rPr>
        <w:t>2</w:t>
      </w:r>
      <w:r w:rsidRPr="00BF6F08">
        <w:rPr>
          <w:color w:val="000000" w:themeColor="text1"/>
          <w:sz w:val="22"/>
          <w:szCs w:val="22"/>
          <w:lang w:val="ru-RU" w:eastAsia="ro-MD"/>
        </w:rPr>
        <w:t>-34</w:t>
      </w:r>
      <w:r w:rsidR="009F4267" w:rsidRPr="007544BA">
        <w:rPr>
          <w:color w:val="000000" w:themeColor="text1"/>
          <w:sz w:val="22"/>
          <w:szCs w:val="22"/>
          <w:vertAlign w:val="superscript"/>
          <w:lang w:val="ru-RU" w:eastAsia="ro-MD"/>
        </w:rPr>
        <w:t>7</w:t>
      </w:r>
      <w:proofErr w:type="gramEnd"/>
      <w:r w:rsidRPr="00BF6F08">
        <w:rPr>
          <w:color w:val="000000" w:themeColor="text1"/>
          <w:sz w:val="22"/>
          <w:szCs w:val="22"/>
          <w:lang w:val="ru-RU" w:eastAsia="ro-MD"/>
        </w:rPr>
        <w:t>;</w:t>
      </w:r>
    </w:p>
    <w:p w14:paraId="0AD40B9D" w14:textId="7FEC148A" w:rsidR="0011444E" w:rsidRPr="00BF6F08" w:rsidRDefault="0011444E" w:rsidP="0011444E">
      <w:pPr>
        <w:ind w:firstLine="567"/>
        <w:jc w:val="both"/>
        <w:rPr>
          <w:color w:val="000000" w:themeColor="text1"/>
          <w:sz w:val="22"/>
          <w:szCs w:val="22"/>
          <w:lang w:val="ru-RU" w:eastAsia="ro-MD"/>
        </w:rPr>
      </w:pPr>
      <w:r w:rsidRPr="00BF6F08">
        <w:rPr>
          <w:color w:val="000000" w:themeColor="text1"/>
          <w:sz w:val="22"/>
          <w:szCs w:val="22"/>
          <w:lang w:val="ru-RU" w:eastAsia="ro-MD"/>
        </w:rPr>
        <w:t xml:space="preserve">2) </w:t>
      </w:r>
      <w:r w:rsidR="00613117" w:rsidRPr="00BF6F08">
        <w:rPr>
          <w:color w:val="000000" w:themeColor="text1"/>
          <w:sz w:val="22"/>
          <w:szCs w:val="22"/>
          <w:lang w:val="ru-RU" w:eastAsia="ro-MD"/>
        </w:rPr>
        <w:t xml:space="preserve">дебиторская задолженность в соответствии с пунктами </w:t>
      </w:r>
      <w:r w:rsidRPr="00BF6F08">
        <w:rPr>
          <w:color w:val="000000" w:themeColor="text1"/>
          <w:sz w:val="22"/>
          <w:szCs w:val="22"/>
          <w:lang w:val="ru-RU" w:eastAsia="ro-MD"/>
        </w:rPr>
        <w:t>34</w:t>
      </w:r>
      <w:r w:rsidR="009F4267" w:rsidRPr="007544BA">
        <w:rPr>
          <w:color w:val="000000" w:themeColor="text1"/>
          <w:sz w:val="22"/>
          <w:szCs w:val="22"/>
          <w:vertAlign w:val="superscript"/>
          <w:lang w:val="ru-RU" w:eastAsia="ro-MD"/>
        </w:rPr>
        <w:t>9</w:t>
      </w:r>
      <w:r w:rsidRPr="00BF6F08">
        <w:rPr>
          <w:color w:val="000000" w:themeColor="text1"/>
          <w:sz w:val="22"/>
          <w:szCs w:val="22"/>
          <w:lang w:val="ru-RU" w:eastAsia="ro-MD"/>
        </w:rPr>
        <w:t xml:space="preserve"> </w:t>
      </w:r>
      <w:r w:rsidR="00613117" w:rsidRPr="00BF6F08">
        <w:rPr>
          <w:color w:val="000000" w:themeColor="text1"/>
          <w:sz w:val="22"/>
          <w:szCs w:val="22"/>
          <w:lang w:val="ru-RU" w:eastAsia="ro-MD"/>
        </w:rPr>
        <w:t>и</w:t>
      </w:r>
      <w:r w:rsidRPr="00BF6F08">
        <w:rPr>
          <w:color w:val="000000" w:themeColor="text1"/>
          <w:sz w:val="22"/>
          <w:szCs w:val="22"/>
          <w:lang w:val="ru-RU" w:eastAsia="ro-MD"/>
        </w:rPr>
        <w:t xml:space="preserve"> 34</w:t>
      </w:r>
      <w:r w:rsidR="009F4267" w:rsidRPr="007544BA">
        <w:rPr>
          <w:color w:val="000000" w:themeColor="text1"/>
          <w:sz w:val="22"/>
          <w:szCs w:val="22"/>
          <w:vertAlign w:val="superscript"/>
          <w:lang w:val="ru-RU" w:eastAsia="ro-MD"/>
        </w:rPr>
        <w:t>10</w:t>
      </w:r>
      <w:r w:rsidRPr="00BF6F08">
        <w:rPr>
          <w:color w:val="000000" w:themeColor="text1"/>
          <w:sz w:val="22"/>
          <w:szCs w:val="22"/>
          <w:lang w:val="ru-RU" w:eastAsia="ro-MD"/>
        </w:rPr>
        <w:t>;</w:t>
      </w:r>
    </w:p>
    <w:p w14:paraId="03CE4534" w14:textId="5DD3E4CD" w:rsidR="0011444E" w:rsidRPr="00BF6F08" w:rsidRDefault="0011444E" w:rsidP="0011444E">
      <w:pPr>
        <w:ind w:firstLine="567"/>
        <w:jc w:val="both"/>
        <w:rPr>
          <w:color w:val="000000" w:themeColor="text1"/>
          <w:sz w:val="22"/>
          <w:szCs w:val="22"/>
          <w:lang w:val="ru-RU" w:eastAsia="ro-MD"/>
        </w:rPr>
      </w:pPr>
      <w:r w:rsidRPr="00BF6F08">
        <w:rPr>
          <w:color w:val="000000" w:themeColor="text1"/>
          <w:sz w:val="22"/>
          <w:szCs w:val="22"/>
          <w:lang w:val="ru-RU" w:eastAsia="ro-MD"/>
        </w:rPr>
        <w:t xml:space="preserve">3) </w:t>
      </w:r>
      <w:r w:rsidR="00BF6F08" w:rsidRPr="00BF6F08">
        <w:rPr>
          <w:color w:val="000000" w:themeColor="text1"/>
          <w:sz w:val="22"/>
          <w:szCs w:val="22"/>
          <w:lang w:val="ru-RU" w:eastAsia="ro-MD"/>
        </w:rPr>
        <w:t xml:space="preserve">прочее материальное обеспечение в соответствии с </w:t>
      </w:r>
      <w:r w:rsidR="009F4267" w:rsidRPr="00BF6F08">
        <w:rPr>
          <w:color w:val="000000" w:themeColor="text1"/>
          <w:sz w:val="22"/>
          <w:szCs w:val="22"/>
          <w:lang w:val="ru-RU" w:eastAsia="ro-MD"/>
        </w:rPr>
        <w:t xml:space="preserve">пунктами </w:t>
      </w:r>
      <w:proofErr w:type="gramStart"/>
      <w:r w:rsidRPr="00BF6F08">
        <w:rPr>
          <w:color w:val="000000" w:themeColor="text1"/>
          <w:sz w:val="22"/>
          <w:szCs w:val="22"/>
          <w:lang w:val="ru-RU" w:eastAsia="ro-MD"/>
        </w:rPr>
        <w:t>34</w:t>
      </w:r>
      <w:r w:rsidR="009F4267" w:rsidRPr="007544BA">
        <w:rPr>
          <w:color w:val="000000" w:themeColor="text1"/>
          <w:sz w:val="22"/>
          <w:szCs w:val="22"/>
          <w:vertAlign w:val="superscript"/>
          <w:lang w:val="ru-RU" w:eastAsia="ro-MD"/>
        </w:rPr>
        <w:t>12</w:t>
      </w:r>
      <w:r w:rsidR="009F4267" w:rsidRPr="007544BA">
        <w:rPr>
          <w:color w:val="000000" w:themeColor="text1"/>
          <w:sz w:val="22"/>
          <w:szCs w:val="22"/>
          <w:lang w:val="ru-RU" w:eastAsia="ro-MD"/>
        </w:rPr>
        <w:t>-3</w:t>
      </w:r>
      <w:r w:rsidR="009F4267" w:rsidRPr="00BF6F08">
        <w:rPr>
          <w:color w:val="000000" w:themeColor="text1"/>
          <w:sz w:val="22"/>
          <w:szCs w:val="22"/>
          <w:lang w:val="ru-RU" w:eastAsia="ro-MD"/>
        </w:rPr>
        <w:t>4</w:t>
      </w:r>
      <w:r w:rsidR="009F4267" w:rsidRPr="007544BA">
        <w:rPr>
          <w:color w:val="000000" w:themeColor="text1"/>
          <w:sz w:val="22"/>
          <w:szCs w:val="22"/>
          <w:vertAlign w:val="superscript"/>
          <w:lang w:val="ru-RU" w:eastAsia="ro-MD"/>
        </w:rPr>
        <w:t>13</w:t>
      </w:r>
      <w:proofErr w:type="gramEnd"/>
      <w:r w:rsidRPr="00BF6F08">
        <w:rPr>
          <w:color w:val="000000" w:themeColor="text1"/>
          <w:sz w:val="22"/>
          <w:szCs w:val="22"/>
          <w:lang w:val="ru-RU" w:eastAsia="ro-MD"/>
        </w:rPr>
        <w:t>;</w:t>
      </w:r>
    </w:p>
    <w:p w14:paraId="1B419417" w14:textId="662E0FDB" w:rsidR="0011444E" w:rsidRPr="00BF6F08" w:rsidRDefault="0011444E" w:rsidP="0011444E">
      <w:pPr>
        <w:ind w:firstLine="567"/>
        <w:jc w:val="both"/>
        <w:rPr>
          <w:color w:val="000000" w:themeColor="text1"/>
          <w:sz w:val="22"/>
          <w:szCs w:val="22"/>
          <w:lang w:val="ru-RU" w:eastAsia="ro-MD"/>
        </w:rPr>
      </w:pPr>
      <w:r w:rsidRPr="00BF6F08">
        <w:rPr>
          <w:color w:val="000000" w:themeColor="text1"/>
          <w:sz w:val="22"/>
          <w:szCs w:val="22"/>
          <w:lang w:val="ru-RU" w:eastAsia="ro-MD"/>
        </w:rPr>
        <w:t xml:space="preserve">4) </w:t>
      </w:r>
      <w:r w:rsidR="00BF6F08" w:rsidRPr="00BF6F08">
        <w:rPr>
          <w:color w:val="000000" w:themeColor="text1"/>
          <w:sz w:val="22"/>
          <w:szCs w:val="22"/>
          <w:lang w:val="ru-RU" w:eastAsia="ro-MD"/>
        </w:rPr>
        <w:t xml:space="preserve">арендованное имущество в соответствии с пунктом </w:t>
      </w:r>
      <w:r w:rsidRPr="00BF6F08">
        <w:rPr>
          <w:color w:val="000000" w:themeColor="text1"/>
          <w:sz w:val="22"/>
          <w:szCs w:val="22"/>
          <w:lang w:val="ru-RU" w:eastAsia="ro-MD"/>
        </w:rPr>
        <w:t>34</w:t>
      </w:r>
      <w:r w:rsidR="009F4267" w:rsidRPr="007544BA">
        <w:rPr>
          <w:color w:val="000000" w:themeColor="text1"/>
          <w:sz w:val="22"/>
          <w:szCs w:val="22"/>
          <w:vertAlign w:val="superscript"/>
          <w:lang w:val="ru-RU" w:eastAsia="ro-MD"/>
        </w:rPr>
        <w:t>14</w:t>
      </w:r>
      <w:r w:rsidRPr="00BF6F08">
        <w:rPr>
          <w:color w:val="000000" w:themeColor="text1"/>
          <w:sz w:val="22"/>
          <w:szCs w:val="22"/>
          <w:lang w:val="ru-RU" w:eastAsia="ro-MD"/>
        </w:rPr>
        <w:t>.</w:t>
      </w:r>
    </w:p>
    <w:p w14:paraId="3DDAF2AC" w14:textId="65AD991D" w:rsidR="0011444E" w:rsidRPr="00DD1F80" w:rsidRDefault="0011444E" w:rsidP="00930587">
      <w:pPr>
        <w:jc w:val="both"/>
        <w:rPr>
          <w:color w:val="000000" w:themeColor="text1"/>
          <w:sz w:val="22"/>
          <w:szCs w:val="22"/>
          <w:lang w:val="ru-RU" w:eastAsia="ro-MD"/>
        </w:rPr>
      </w:pPr>
      <w:r w:rsidRPr="00DD1F80">
        <w:rPr>
          <w:b/>
          <w:bCs/>
          <w:color w:val="000000" w:themeColor="text1"/>
          <w:sz w:val="22"/>
          <w:szCs w:val="22"/>
          <w:lang w:val="ru-RU" w:eastAsia="ro-MD"/>
        </w:rPr>
        <w:t>34</w:t>
      </w:r>
      <w:r w:rsidRPr="00DD1F80">
        <w:rPr>
          <w:b/>
          <w:bCs/>
          <w:color w:val="000000" w:themeColor="text1"/>
          <w:sz w:val="22"/>
          <w:szCs w:val="22"/>
          <w:vertAlign w:val="superscript"/>
          <w:lang w:val="ru-RU" w:eastAsia="ro-MD"/>
        </w:rPr>
        <w:t>2</w:t>
      </w:r>
      <w:r w:rsidRPr="00DD1F80">
        <w:rPr>
          <w:b/>
          <w:bCs/>
          <w:color w:val="000000" w:themeColor="text1"/>
          <w:sz w:val="22"/>
          <w:szCs w:val="22"/>
          <w:lang w:val="ru-RU" w:eastAsia="ro-MD"/>
        </w:rPr>
        <w:t>.</w:t>
      </w:r>
      <w:r w:rsidRPr="00DD1F80">
        <w:rPr>
          <w:color w:val="000000" w:themeColor="text1"/>
          <w:sz w:val="22"/>
          <w:szCs w:val="22"/>
          <w:lang w:val="ru-RU" w:eastAsia="ro-MD"/>
        </w:rPr>
        <w:t xml:space="preserve"> </w:t>
      </w:r>
      <w:r w:rsidR="00482626" w:rsidRPr="00DD1F80">
        <w:rPr>
          <w:color w:val="000000" w:themeColor="text1"/>
          <w:sz w:val="22"/>
          <w:szCs w:val="22"/>
          <w:lang w:val="ru-RU" w:eastAsia="ro-MD"/>
        </w:rPr>
        <w:t>Если в Регламенте № 111/2018 не указано иное, банки могут использовать в качестве приемлемого обеспечения недвижимость, предназначенную для сдачи в аренду, которая занимается или будет заниматься владельцем или, в случае компаний для личных инвестиций, бенефициарным владельцем, а также коммерческую недвижимость, включая офисы и другие коммерческие помещения, если совокупно выполняются следующие условия</w:t>
      </w:r>
      <w:r w:rsidRPr="00DD1F80">
        <w:rPr>
          <w:color w:val="000000" w:themeColor="text1"/>
          <w:sz w:val="22"/>
          <w:szCs w:val="22"/>
          <w:lang w:val="ru-RU" w:eastAsia="ro-MD"/>
        </w:rPr>
        <w:t>:</w:t>
      </w:r>
    </w:p>
    <w:p w14:paraId="139C92CB" w14:textId="1C6EA558" w:rsidR="0011444E" w:rsidRPr="00DD1F80" w:rsidRDefault="0011444E" w:rsidP="0011444E">
      <w:pPr>
        <w:ind w:firstLine="567"/>
        <w:jc w:val="both"/>
        <w:rPr>
          <w:color w:val="000000" w:themeColor="text1"/>
          <w:sz w:val="22"/>
          <w:szCs w:val="22"/>
          <w:lang w:val="ru-RU" w:eastAsia="ro-MD"/>
        </w:rPr>
      </w:pPr>
      <w:r w:rsidRPr="00DD1F80">
        <w:rPr>
          <w:color w:val="000000" w:themeColor="text1"/>
          <w:sz w:val="22"/>
          <w:szCs w:val="22"/>
          <w:lang w:val="ru-RU" w:eastAsia="ro-MD"/>
        </w:rPr>
        <w:t xml:space="preserve">1) </w:t>
      </w:r>
      <w:r w:rsidR="00482626" w:rsidRPr="00DD1F80">
        <w:rPr>
          <w:color w:val="000000" w:themeColor="text1"/>
          <w:sz w:val="22"/>
          <w:szCs w:val="22"/>
          <w:lang w:val="ru-RU" w:eastAsia="ro-MD"/>
        </w:rPr>
        <w:t>стоимость недвижимости не зависит в значительной степени от кредитоспособности заемщика</w:t>
      </w:r>
      <w:r w:rsidRPr="00DD1F80">
        <w:rPr>
          <w:color w:val="000000" w:themeColor="text1"/>
          <w:sz w:val="22"/>
          <w:szCs w:val="22"/>
          <w:lang w:val="ru-RU" w:eastAsia="ro-MD"/>
        </w:rPr>
        <w:t>;</w:t>
      </w:r>
    </w:p>
    <w:p w14:paraId="78B83535" w14:textId="7393E867" w:rsidR="0011444E" w:rsidRPr="00DD1F80" w:rsidRDefault="0011444E" w:rsidP="0011444E">
      <w:pPr>
        <w:ind w:firstLine="567"/>
        <w:jc w:val="both"/>
        <w:rPr>
          <w:color w:val="000000" w:themeColor="text1"/>
          <w:sz w:val="22"/>
          <w:szCs w:val="22"/>
          <w:lang w:val="ru-RU" w:eastAsia="ro-MD"/>
        </w:rPr>
      </w:pPr>
      <w:r w:rsidRPr="00DD1F80">
        <w:rPr>
          <w:color w:val="000000" w:themeColor="text1"/>
          <w:sz w:val="22"/>
          <w:szCs w:val="22"/>
          <w:lang w:val="ru-RU" w:eastAsia="ro-MD"/>
        </w:rPr>
        <w:t xml:space="preserve">2) </w:t>
      </w:r>
      <w:r w:rsidR="00DD1F80" w:rsidRPr="00DD1F80">
        <w:rPr>
          <w:color w:val="000000" w:themeColor="text1"/>
          <w:sz w:val="22"/>
          <w:szCs w:val="22"/>
          <w:lang w:val="ru-RU" w:eastAsia="ro-MD"/>
        </w:rPr>
        <w:t>риск, связанный с заемщиком, не зависит в значительной степени от доходности недвижимого имущества или базового проекта, а зависит от реальной способности заемщика погасить задолженность из других источников; следовательно, погашение кредита не зависит в значительной степени от денежных потоков, генерируемых недвижимым имуществом, служащим в качестве реальной гарантии</w:t>
      </w:r>
      <w:r w:rsidRPr="00DD1F80">
        <w:rPr>
          <w:color w:val="000000" w:themeColor="text1"/>
          <w:sz w:val="22"/>
          <w:szCs w:val="22"/>
          <w:lang w:val="ru-RU" w:eastAsia="ro-MD"/>
        </w:rPr>
        <w:t>.</w:t>
      </w:r>
    </w:p>
    <w:p w14:paraId="4DDE2CB0" w14:textId="53EE2B15" w:rsidR="0011444E" w:rsidRPr="007B22CB" w:rsidRDefault="0011444E" w:rsidP="00930587">
      <w:pPr>
        <w:jc w:val="both"/>
        <w:rPr>
          <w:color w:val="000000" w:themeColor="text1"/>
          <w:sz w:val="22"/>
          <w:szCs w:val="22"/>
          <w:lang w:val="ru-RU" w:eastAsia="ro-MD"/>
        </w:rPr>
      </w:pPr>
      <w:r w:rsidRPr="007B22CB">
        <w:rPr>
          <w:b/>
          <w:bCs/>
          <w:color w:val="000000" w:themeColor="text1"/>
          <w:sz w:val="22"/>
          <w:szCs w:val="22"/>
          <w:lang w:val="ru-RU" w:eastAsia="ro-MD"/>
        </w:rPr>
        <w:t>34</w:t>
      </w:r>
      <w:r w:rsidRPr="007B22CB">
        <w:rPr>
          <w:b/>
          <w:bCs/>
          <w:color w:val="000000" w:themeColor="text1"/>
          <w:sz w:val="22"/>
          <w:szCs w:val="22"/>
          <w:vertAlign w:val="superscript"/>
          <w:lang w:val="ru-RU" w:eastAsia="ro-MD"/>
        </w:rPr>
        <w:t>3</w:t>
      </w:r>
      <w:r w:rsidRPr="007B22CB">
        <w:rPr>
          <w:b/>
          <w:bCs/>
          <w:color w:val="000000" w:themeColor="text1"/>
          <w:sz w:val="22"/>
          <w:szCs w:val="22"/>
          <w:lang w:val="ru-RU" w:eastAsia="ro-MD"/>
        </w:rPr>
        <w:t>.</w:t>
      </w:r>
      <w:r w:rsidRPr="007B22CB">
        <w:rPr>
          <w:color w:val="000000" w:themeColor="text1"/>
          <w:sz w:val="22"/>
          <w:szCs w:val="22"/>
          <w:lang w:val="ru-RU" w:eastAsia="ro-MD"/>
        </w:rPr>
        <w:t xml:space="preserve"> </w:t>
      </w:r>
      <w:r w:rsidR="00851645" w:rsidRPr="007B22CB">
        <w:rPr>
          <w:color w:val="000000" w:themeColor="text1"/>
          <w:sz w:val="22"/>
          <w:szCs w:val="22"/>
          <w:lang w:val="ru-RU" w:eastAsia="ro-MD"/>
        </w:rPr>
        <w:t>В смысле</w:t>
      </w:r>
      <w:r w:rsidR="00191B20" w:rsidRPr="007544BA">
        <w:rPr>
          <w:color w:val="000000" w:themeColor="text1"/>
          <w:sz w:val="22"/>
          <w:szCs w:val="22"/>
          <w:lang w:val="ru-RU" w:eastAsia="ro-MD"/>
        </w:rPr>
        <w:t xml:space="preserve"> </w:t>
      </w:r>
      <w:r w:rsidR="00851645" w:rsidRPr="007B22CB">
        <w:rPr>
          <w:color w:val="000000" w:themeColor="text1"/>
          <w:sz w:val="22"/>
          <w:szCs w:val="22"/>
          <w:lang w:val="ru-RU" w:eastAsia="ro-MD"/>
        </w:rPr>
        <w:t xml:space="preserve">подпункта 1) </w:t>
      </w:r>
      <w:r w:rsidR="00191B20" w:rsidRPr="007B22CB">
        <w:rPr>
          <w:color w:val="000000" w:themeColor="text1"/>
          <w:sz w:val="22"/>
          <w:szCs w:val="22"/>
          <w:lang w:val="ru-RU" w:eastAsia="ro-MD"/>
        </w:rPr>
        <w:t>пункта</w:t>
      </w:r>
      <w:r w:rsidR="00191B20" w:rsidRPr="007544BA">
        <w:rPr>
          <w:color w:val="000000" w:themeColor="text1"/>
          <w:sz w:val="22"/>
          <w:szCs w:val="22"/>
          <w:lang w:val="ru-RU" w:eastAsia="ro-MD"/>
        </w:rPr>
        <w:t xml:space="preserve"> 34</w:t>
      </w:r>
      <w:r w:rsidR="00191B20" w:rsidRPr="007544BA">
        <w:rPr>
          <w:color w:val="000000" w:themeColor="text1"/>
          <w:sz w:val="22"/>
          <w:szCs w:val="22"/>
          <w:vertAlign w:val="superscript"/>
          <w:lang w:val="ru-RU" w:eastAsia="ro-MD"/>
        </w:rPr>
        <w:t>2</w:t>
      </w:r>
      <w:r w:rsidR="00191B20" w:rsidRPr="007B22CB">
        <w:rPr>
          <w:color w:val="000000" w:themeColor="text1"/>
          <w:sz w:val="22"/>
          <w:szCs w:val="22"/>
          <w:lang w:val="ru-RU" w:eastAsia="ro-MD"/>
        </w:rPr>
        <w:t xml:space="preserve"> </w:t>
      </w:r>
      <w:r w:rsidR="00851645" w:rsidRPr="007B22CB">
        <w:rPr>
          <w:color w:val="000000" w:themeColor="text1"/>
          <w:sz w:val="22"/>
          <w:szCs w:val="22"/>
          <w:lang w:val="ru-RU" w:eastAsia="ro-MD"/>
        </w:rPr>
        <w:t>банки могут исключить ситуации, в которых чисто макроэкономические факторы влияют как на стоимость недвижимого имущества, так и на платежеспособность заемщика</w:t>
      </w:r>
      <w:r w:rsidRPr="007B22CB">
        <w:rPr>
          <w:color w:val="000000" w:themeColor="text1"/>
          <w:sz w:val="22"/>
          <w:szCs w:val="22"/>
          <w:lang w:val="ru-RU" w:eastAsia="ro-MD"/>
        </w:rPr>
        <w:t>.</w:t>
      </w:r>
    </w:p>
    <w:p w14:paraId="5F652E48" w14:textId="2FA371F8" w:rsidR="0011444E" w:rsidRPr="007B22CB" w:rsidRDefault="0011444E" w:rsidP="00930587">
      <w:pPr>
        <w:jc w:val="both"/>
        <w:rPr>
          <w:color w:val="000000" w:themeColor="text1"/>
          <w:sz w:val="22"/>
          <w:szCs w:val="22"/>
          <w:lang w:val="ru-RU" w:eastAsia="ro-MD"/>
        </w:rPr>
      </w:pPr>
      <w:r w:rsidRPr="007B22CB">
        <w:rPr>
          <w:b/>
          <w:bCs/>
          <w:color w:val="000000" w:themeColor="text1"/>
          <w:sz w:val="22"/>
          <w:szCs w:val="22"/>
          <w:lang w:val="ru-RU" w:eastAsia="ro-MD"/>
        </w:rPr>
        <w:lastRenderedPageBreak/>
        <w:t>34</w:t>
      </w:r>
      <w:r w:rsidRPr="007B22CB">
        <w:rPr>
          <w:b/>
          <w:bCs/>
          <w:color w:val="000000" w:themeColor="text1"/>
          <w:sz w:val="22"/>
          <w:szCs w:val="22"/>
          <w:vertAlign w:val="superscript"/>
          <w:lang w:val="ru-RU" w:eastAsia="ro-MD"/>
        </w:rPr>
        <w:t>4</w:t>
      </w:r>
      <w:r w:rsidRPr="007B22CB">
        <w:rPr>
          <w:b/>
          <w:bCs/>
          <w:color w:val="000000" w:themeColor="text1"/>
          <w:sz w:val="22"/>
          <w:szCs w:val="22"/>
          <w:lang w:val="ru-RU" w:eastAsia="ro-MD"/>
        </w:rPr>
        <w:t>.</w:t>
      </w:r>
      <w:r w:rsidRPr="007B22CB">
        <w:rPr>
          <w:color w:val="000000" w:themeColor="text1"/>
          <w:sz w:val="22"/>
          <w:szCs w:val="22"/>
          <w:lang w:val="ru-RU" w:eastAsia="ro-MD"/>
        </w:rPr>
        <w:t xml:space="preserve"> </w:t>
      </w:r>
      <w:r w:rsidR="005A0497" w:rsidRPr="007B22CB">
        <w:rPr>
          <w:color w:val="000000" w:themeColor="text1"/>
          <w:sz w:val="22"/>
          <w:szCs w:val="22"/>
          <w:lang w:val="ru-RU" w:eastAsia="ro-MD"/>
        </w:rPr>
        <w:t>Банки могут отступать от подпункта 2) пункта 34</w:t>
      </w:r>
      <w:r w:rsidR="005A0497" w:rsidRPr="007B22CB">
        <w:rPr>
          <w:color w:val="000000" w:themeColor="text1"/>
          <w:sz w:val="22"/>
          <w:szCs w:val="22"/>
          <w:vertAlign w:val="superscript"/>
          <w:lang w:val="ru-RU" w:eastAsia="ro-MD"/>
        </w:rPr>
        <w:t>2</w:t>
      </w:r>
      <w:r w:rsidR="005A0497" w:rsidRPr="007B22CB">
        <w:rPr>
          <w:color w:val="000000" w:themeColor="text1"/>
          <w:sz w:val="22"/>
          <w:szCs w:val="22"/>
          <w:lang w:val="ru-RU" w:eastAsia="ro-MD"/>
        </w:rPr>
        <w:t xml:space="preserve">  в случае </w:t>
      </w:r>
      <w:r w:rsidR="007B22CB" w:rsidRPr="007B22CB">
        <w:rPr>
          <w:color w:val="000000" w:themeColor="text1"/>
          <w:sz w:val="22"/>
          <w:szCs w:val="22"/>
          <w:lang w:val="ru-RU" w:eastAsia="ro-MD"/>
        </w:rPr>
        <w:t>подверженностей</w:t>
      </w:r>
      <w:r w:rsidR="005A0497" w:rsidRPr="007B22CB">
        <w:rPr>
          <w:color w:val="000000" w:themeColor="text1"/>
          <w:sz w:val="22"/>
          <w:szCs w:val="22"/>
          <w:lang w:val="ru-RU" w:eastAsia="ro-MD"/>
        </w:rPr>
        <w:t>, обеспеченных жилой недвижимостью, расположенной на территории Республики Молдова, если Национальный банк Молдовы</w:t>
      </w:r>
      <w:r w:rsidR="00191B20" w:rsidRPr="007544BA">
        <w:rPr>
          <w:color w:val="000000" w:themeColor="text1"/>
          <w:sz w:val="22"/>
          <w:szCs w:val="22"/>
          <w:lang w:val="ru-RU" w:eastAsia="ro-MD"/>
        </w:rPr>
        <w:t>,</w:t>
      </w:r>
      <w:r w:rsidR="005A0497" w:rsidRPr="007B22CB">
        <w:rPr>
          <w:color w:val="000000" w:themeColor="text1"/>
          <w:sz w:val="22"/>
          <w:szCs w:val="22"/>
          <w:lang w:val="ru-RU" w:eastAsia="ro-MD"/>
        </w:rPr>
        <w:t xml:space="preserve"> </w:t>
      </w:r>
      <w:r w:rsidR="00191B20" w:rsidRPr="00191B20">
        <w:rPr>
          <w:color w:val="000000" w:themeColor="text1"/>
          <w:sz w:val="22"/>
          <w:szCs w:val="22"/>
          <w:lang w:val="ru-RU" w:eastAsia="ro-MD"/>
        </w:rPr>
        <w:t>в целях пунктов 68</w:t>
      </w:r>
      <w:r w:rsidR="00191B20" w:rsidRPr="00191B20">
        <w:rPr>
          <w:color w:val="000000" w:themeColor="text1"/>
          <w:sz w:val="22"/>
          <w:szCs w:val="22"/>
          <w:vertAlign w:val="superscript"/>
          <w:lang w:val="ru-RU" w:eastAsia="ro-MD"/>
        </w:rPr>
        <w:t>4</w:t>
      </w:r>
      <w:r w:rsidR="00191B20" w:rsidRPr="00191B20">
        <w:rPr>
          <w:color w:val="000000" w:themeColor="text1"/>
          <w:sz w:val="22"/>
          <w:szCs w:val="22"/>
          <w:lang w:val="ru-RU" w:eastAsia="ro-MD"/>
        </w:rPr>
        <w:t>–68</w:t>
      </w:r>
      <w:r w:rsidR="00191B20" w:rsidRPr="00191B20">
        <w:rPr>
          <w:color w:val="000000" w:themeColor="text1"/>
          <w:sz w:val="22"/>
          <w:szCs w:val="22"/>
          <w:vertAlign w:val="superscript"/>
          <w:lang w:val="ru-RU" w:eastAsia="ro-MD"/>
        </w:rPr>
        <w:t>8</w:t>
      </w:r>
      <w:r w:rsidR="00191B20" w:rsidRPr="00191B20">
        <w:rPr>
          <w:color w:val="000000" w:themeColor="text1"/>
          <w:sz w:val="22"/>
          <w:szCs w:val="22"/>
          <w:lang w:val="ru-RU" w:eastAsia="ro-MD"/>
        </w:rPr>
        <w:t xml:space="preserve"> Регламента № 111/2018, </w:t>
      </w:r>
      <w:r w:rsidR="005A0497" w:rsidRPr="007B22CB">
        <w:rPr>
          <w:color w:val="000000" w:themeColor="text1"/>
          <w:sz w:val="22"/>
          <w:szCs w:val="22"/>
          <w:lang w:val="ru-RU" w:eastAsia="ro-MD"/>
        </w:rPr>
        <w:t>опубликовал доказательства, указывающие на наличие хорошо развитого и давно существующего рынка жилой недвижимости на соответствующей территории, с показателями убыточности, не превышающими ни один из следующих пределов</w:t>
      </w:r>
      <w:r w:rsidRPr="007B22CB">
        <w:rPr>
          <w:color w:val="000000" w:themeColor="text1"/>
          <w:sz w:val="22"/>
          <w:szCs w:val="22"/>
          <w:lang w:val="ru-RU" w:eastAsia="ro-MD"/>
        </w:rPr>
        <w:t>:</w:t>
      </w:r>
    </w:p>
    <w:p w14:paraId="47AD71E6" w14:textId="695820F6" w:rsidR="0011444E" w:rsidRPr="007B22CB" w:rsidRDefault="0011444E" w:rsidP="0011444E">
      <w:pPr>
        <w:ind w:firstLine="567"/>
        <w:jc w:val="both"/>
        <w:rPr>
          <w:color w:val="000000" w:themeColor="text1"/>
          <w:sz w:val="22"/>
          <w:szCs w:val="22"/>
          <w:lang w:val="ru-RU" w:eastAsia="ro-MD"/>
        </w:rPr>
      </w:pPr>
      <w:r w:rsidRPr="007B22CB">
        <w:rPr>
          <w:color w:val="000000" w:themeColor="text1"/>
          <w:sz w:val="22"/>
          <w:szCs w:val="22"/>
          <w:lang w:val="ru-RU" w:eastAsia="ro-MD"/>
        </w:rPr>
        <w:t xml:space="preserve">1) </w:t>
      </w:r>
      <w:r w:rsidR="000C7EE0" w:rsidRPr="007B22CB">
        <w:rPr>
          <w:color w:val="000000" w:themeColor="text1"/>
          <w:sz w:val="22"/>
          <w:szCs w:val="22"/>
          <w:lang w:val="ru-RU" w:eastAsia="ro-MD"/>
        </w:rPr>
        <w:t xml:space="preserve">соотношение между совокупными значениями, сообщаемыми банками в соответствии с </w:t>
      </w:r>
      <w:r w:rsidR="007B22CB" w:rsidRPr="007B22CB">
        <w:rPr>
          <w:color w:val="000000" w:themeColor="text1"/>
          <w:sz w:val="22"/>
          <w:szCs w:val="22"/>
          <w:lang w:val="ru-RU" w:eastAsia="ro-MD"/>
        </w:rPr>
        <w:t>под</w:t>
      </w:r>
      <w:r w:rsidR="003E6C85" w:rsidRPr="007B22CB">
        <w:rPr>
          <w:color w:val="000000" w:themeColor="text1"/>
          <w:sz w:val="22"/>
          <w:szCs w:val="22"/>
          <w:lang w:val="ru-RU" w:eastAsia="ro-MD"/>
        </w:rPr>
        <w:t>пункта</w:t>
      </w:r>
      <w:r w:rsidR="007B22CB" w:rsidRPr="007B22CB">
        <w:rPr>
          <w:color w:val="000000" w:themeColor="text1"/>
          <w:sz w:val="22"/>
          <w:szCs w:val="22"/>
          <w:lang w:val="ru-RU" w:eastAsia="ro-MD"/>
        </w:rPr>
        <w:t>ми</w:t>
      </w:r>
      <w:r w:rsidR="003E6C85" w:rsidRPr="007B22CB">
        <w:rPr>
          <w:color w:val="000000" w:themeColor="text1"/>
          <w:sz w:val="22"/>
          <w:szCs w:val="22"/>
          <w:lang w:val="ru-RU" w:eastAsia="ro-MD"/>
        </w:rPr>
        <w:t xml:space="preserve"> 1) </w:t>
      </w:r>
      <w:r w:rsidR="007B22CB" w:rsidRPr="007B22CB">
        <w:rPr>
          <w:color w:val="000000" w:themeColor="text1"/>
          <w:sz w:val="22"/>
          <w:szCs w:val="22"/>
          <w:lang w:val="ru-RU" w:eastAsia="ro-MD"/>
        </w:rPr>
        <w:t xml:space="preserve">и 3) </w:t>
      </w:r>
      <w:r w:rsidR="003E6C85" w:rsidRPr="007B22CB">
        <w:rPr>
          <w:color w:val="000000" w:themeColor="text1"/>
          <w:sz w:val="22"/>
          <w:szCs w:val="22"/>
          <w:lang w:val="ru-RU" w:eastAsia="ro-MD"/>
        </w:rPr>
        <w:t>приложения № 2</w:t>
      </w:r>
      <w:r w:rsidR="007B22CB" w:rsidRPr="007B22CB">
        <w:rPr>
          <w:color w:val="000000" w:themeColor="text1"/>
          <w:sz w:val="22"/>
          <w:szCs w:val="22"/>
          <w:vertAlign w:val="superscript"/>
          <w:lang w:val="ru-RU" w:eastAsia="ro-MD"/>
        </w:rPr>
        <w:t>1</w:t>
      </w:r>
      <w:r w:rsidR="003E6C85" w:rsidRPr="007B22CB">
        <w:rPr>
          <w:color w:val="000000" w:themeColor="text1"/>
          <w:sz w:val="22"/>
          <w:szCs w:val="22"/>
          <w:lang w:val="ru-RU" w:eastAsia="ro-MD"/>
        </w:rPr>
        <w:t xml:space="preserve"> к Регламенту № 111/2018, не превышает 0,3%</w:t>
      </w:r>
      <w:r w:rsidRPr="007B22CB">
        <w:rPr>
          <w:color w:val="000000" w:themeColor="text1"/>
          <w:sz w:val="22"/>
          <w:szCs w:val="22"/>
          <w:lang w:val="ru-RU" w:eastAsia="ro-MD"/>
        </w:rPr>
        <w:t>;</w:t>
      </w:r>
    </w:p>
    <w:p w14:paraId="63F7540D" w14:textId="4E921E4F" w:rsidR="0011444E" w:rsidRPr="007B22CB" w:rsidRDefault="0011444E" w:rsidP="0011444E">
      <w:pPr>
        <w:ind w:firstLine="567"/>
        <w:jc w:val="both"/>
        <w:rPr>
          <w:color w:val="000000" w:themeColor="text1"/>
          <w:sz w:val="22"/>
          <w:szCs w:val="22"/>
          <w:lang w:val="ru-RU" w:eastAsia="ro-MD"/>
        </w:rPr>
      </w:pPr>
      <w:r w:rsidRPr="007B22CB">
        <w:rPr>
          <w:color w:val="000000" w:themeColor="text1"/>
          <w:sz w:val="22"/>
          <w:szCs w:val="22"/>
          <w:lang w:val="ru-RU" w:eastAsia="ro-MD"/>
        </w:rPr>
        <w:t xml:space="preserve">2) </w:t>
      </w:r>
      <w:r w:rsidR="000C7EE0" w:rsidRPr="007B22CB">
        <w:rPr>
          <w:color w:val="000000" w:themeColor="text1"/>
          <w:sz w:val="22"/>
          <w:szCs w:val="22"/>
          <w:lang w:val="ru-RU" w:eastAsia="ro-MD"/>
        </w:rPr>
        <w:t>соотношение между совокупными значениями, сообщаемыми банками в соответствии с подпунктами 2) и 3) пункта 1) приложения № 2</w:t>
      </w:r>
      <w:r w:rsidR="007B22CB" w:rsidRPr="007B22CB">
        <w:rPr>
          <w:color w:val="000000" w:themeColor="text1"/>
          <w:sz w:val="22"/>
          <w:szCs w:val="22"/>
          <w:vertAlign w:val="superscript"/>
          <w:lang w:val="ru-RU" w:eastAsia="ro-MD"/>
        </w:rPr>
        <w:t>1</w:t>
      </w:r>
      <w:r w:rsidR="000C7EE0" w:rsidRPr="007B22CB">
        <w:rPr>
          <w:color w:val="000000" w:themeColor="text1"/>
          <w:sz w:val="22"/>
          <w:szCs w:val="22"/>
          <w:lang w:val="ru-RU" w:eastAsia="ro-MD"/>
        </w:rPr>
        <w:t xml:space="preserve"> к Регламенту № 111/2018, не превышает 0,5%</w:t>
      </w:r>
      <w:r w:rsidRPr="007B22CB">
        <w:rPr>
          <w:color w:val="000000" w:themeColor="text1"/>
          <w:sz w:val="22"/>
          <w:szCs w:val="22"/>
          <w:lang w:val="ru-RU" w:eastAsia="ro-MD"/>
        </w:rPr>
        <w:t>.</w:t>
      </w:r>
    </w:p>
    <w:p w14:paraId="22606C36" w14:textId="6CC9052D" w:rsidR="0011444E" w:rsidRPr="005F0466" w:rsidRDefault="0011444E" w:rsidP="00930587">
      <w:pPr>
        <w:jc w:val="both"/>
        <w:rPr>
          <w:color w:val="000000" w:themeColor="text1"/>
          <w:sz w:val="22"/>
          <w:szCs w:val="22"/>
          <w:lang w:val="ru-RU" w:eastAsia="ro-MD"/>
        </w:rPr>
      </w:pPr>
      <w:r w:rsidRPr="005F0466">
        <w:rPr>
          <w:b/>
          <w:bCs/>
          <w:color w:val="000000" w:themeColor="text1"/>
          <w:sz w:val="22"/>
          <w:szCs w:val="22"/>
          <w:lang w:val="ru-RU" w:eastAsia="ro-MD"/>
        </w:rPr>
        <w:t>34</w:t>
      </w:r>
      <w:r w:rsidRPr="005F0466">
        <w:rPr>
          <w:b/>
          <w:bCs/>
          <w:color w:val="000000" w:themeColor="text1"/>
          <w:sz w:val="22"/>
          <w:szCs w:val="22"/>
          <w:vertAlign w:val="superscript"/>
          <w:lang w:val="ru-RU" w:eastAsia="ro-MD"/>
        </w:rPr>
        <w:t>5</w:t>
      </w:r>
      <w:r w:rsidRPr="005F0466">
        <w:rPr>
          <w:b/>
          <w:bCs/>
          <w:color w:val="000000" w:themeColor="text1"/>
          <w:sz w:val="22"/>
          <w:szCs w:val="22"/>
          <w:lang w:val="ru-RU" w:eastAsia="ro-MD"/>
        </w:rPr>
        <w:t>.</w:t>
      </w:r>
      <w:r w:rsidRPr="005F0466">
        <w:rPr>
          <w:color w:val="000000" w:themeColor="text1"/>
          <w:sz w:val="22"/>
          <w:szCs w:val="22"/>
          <w:lang w:val="ru-RU" w:eastAsia="ro-MD"/>
        </w:rPr>
        <w:t xml:space="preserve"> </w:t>
      </w:r>
      <w:r w:rsidR="005F0466" w:rsidRPr="005F0466">
        <w:rPr>
          <w:color w:val="000000" w:themeColor="text1"/>
          <w:sz w:val="22"/>
          <w:szCs w:val="22"/>
          <w:lang w:val="ru-RU" w:eastAsia="ro-MD"/>
        </w:rPr>
        <w:t>Если в течение какого-либо года не выполняется любое из условий, указанных в подпунктах 1) и 2), банки не применяют режим, указанный в соответствующем пункте, до тех пор, пока в последующем году не будут выполнены оба условия</w:t>
      </w:r>
      <w:r w:rsidRPr="005F0466">
        <w:rPr>
          <w:color w:val="000000" w:themeColor="text1"/>
          <w:sz w:val="22"/>
          <w:szCs w:val="22"/>
          <w:lang w:val="ru-RU" w:eastAsia="ro-MD"/>
        </w:rPr>
        <w:t>.</w:t>
      </w:r>
    </w:p>
    <w:p w14:paraId="68242643" w14:textId="2E030848" w:rsidR="0011444E" w:rsidRPr="0008501B" w:rsidRDefault="0011444E" w:rsidP="00930587">
      <w:pPr>
        <w:jc w:val="both"/>
        <w:rPr>
          <w:color w:val="000000" w:themeColor="text1"/>
          <w:sz w:val="22"/>
          <w:szCs w:val="22"/>
          <w:lang w:val="ru-RU" w:eastAsia="ro-MD"/>
        </w:rPr>
      </w:pPr>
      <w:r w:rsidRPr="0008501B">
        <w:rPr>
          <w:b/>
          <w:bCs/>
          <w:color w:val="000000" w:themeColor="text1"/>
          <w:sz w:val="22"/>
          <w:szCs w:val="22"/>
          <w:lang w:val="ru-RU" w:eastAsia="ro-MD"/>
        </w:rPr>
        <w:t>34</w:t>
      </w:r>
      <w:r w:rsidRPr="0008501B">
        <w:rPr>
          <w:b/>
          <w:bCs/>
          <w:color w:val="000000" w:themeColor="text1"/>
          <w:sz w:val="22"/>
          <w:szCs w:val="22"/>
          <w:vertAlign w:val="superscript"/>
          <w:lang w:val="ru-RU" w:eastAsia="ro-MD"/>
        </w:rPr>
        <w:t>6</w:t>
      </w:r>
      <w:r w:rsidRPr="0008501B">
        <w:rPr>
          <w:b/>
          <w:bCs/>
          <w:color w:val="000000" w:themeColor="text1"/>
          <w:sz w:val="22"/>
          <w:szCs w:val="22"/>
          <w:lang w:val="ru-RU" w:eastAsia="ro-MD"/>
        </w:rPr>
        <w:t>.</w:t>
      </w:r>
      <w:r w:rsidRPr="0008501B">
        <w:rPr>
          <w:color w:val="000000" w:themeColor="text1"/>
          <w:sz w:val="22"/>
          <w:szCs w:val="22"/>
          <w:lang w:val="ru-RU" w:eastAsia="ro-MD"/>
        </w:rPr>
        <w:t xml:space="preserve"> </w:t>
      </w:r>
      <w:r w:rsidR="005F0466" w:rsidRPr="0008501B">
        <w:rPr>
          <w:color w:val="000000" w:themeColor="text1"/>
          <w:sz w:val="22"/>
          <w:szCs w:val="22"/>
          <w:lang w:val="ru-RU" w:eastAsia="ro-MD"/>
        </w:rPr>
        <w:t xml:space="preserve">Банки могут отступать от </w:t>
      </w:r>
      <w:r w:rsidR="001067C0" w:rsidRPr="0008501B">
        <w:rPr>
          <w:color w:val="000000" w:themeColor="text1"/>
          <w:sz w:val="22"/>
          <w:szCs w:val="22"/>
          <w:lang w:val="ru-RU" w:eastAsia="ro-MD"/>
        </w:rPr>
        <w:t xml:space="preserve">подпункта 2) пункта </w:t>
      </w:r>
      <w:r w:rsidR="005F0466" w:rsidRPr="0008501B">
        <w:rPr>
          <w:color w:val="000000" w:themeColor="text1"/>
          <w:sz w:val="22"/>
          <w:szCs w:val="22"/>
          <w:lang w:val="ru-RU" w:eastAsia="ro-MD"/>
        </w:rPr>
        <w:t>34</w:t>
      </w:r>
      <w:r w:rsidR="001067C0">
        <w:rPr>
          <w:color w:val="000000" w:themeColor="text1"/>
          <w:sz w:val="22"/>
          <w:szCs w:val="22"/>
          <w:vertAlign w:val="superscript"/>
          <w:lang w:val="ru-RU" w:eastAsia="ro-MD"/>
        </w:rPr>
        <w:t>2</w:t>
      </w:r>
      <w:r w:rsidR="005F0466" w:rsidRPr="0008501B">
        <w:rPr>
          <w:color w:val="000000" w:themeColor="text1"/>
          <w:sz w:val="22"/>
          <w:szCs w:val="22"/>
          <w:lang w:val="ru-RU" w:eastAsia="ro-MD"/>
        </w:rPr>
        <w:t xml:space="preserve"> в случае подверженностей, обеспеченных коммерческой недвижимостью, расположенной на территории Республики Молдова, если Национальный банк Молдовы</w:t>
      </w:r>
      <w:r w:rsidR="00191B20" w:rsidRPr="007544BA">
        <w:rPr>
          <w:color w:val="000000" w:themeColor="text1"/>
          <w:sz w:val="22"/>
          <w:szCs w:val="22"/>
          <w:lang w:val="ru-RU" w:eastAsia="ro-MD"/>
        </w:rPr>
        <w:t xml:space="preserve">, </w:t>
      </w:r>
      <w:r w:rsidR="00191B20" w:rsidRPr="00191B20">
        <w:rPr>
          <w:color w:val="000000" w:themeColor="text1"/>
          <w:sz w:val="22"/>
          <w:szCs w:val="22"/>
          <w:lang w:val="ru-RU" w:eastAsia="ro-MD"/>
        </w:rPr>
        <w:t>в целях пунктов 68</w:t>
      </w:r>
      <w:r w:rsidR="00191B20" w:rsidRPr="00191B20">
        <w:rPr>
          <w:color w:val="000000" w:themeColor="text1"/>
          <w:sz w:val="22"/>
          <w:szCs w:val="22"/>
          <w:vertAlign w:val="superscript"/>
          <w:lang w:val="ru-RU" w:eastAsia="ro-MD"/>
        </w:rPr>
        <w:t>4</w:t>
      </w:r>
      <w:r w:rsidR="00191B20" w:rsidRPr="00191B20">
        <w:rPr>
          <w:color w:val="000000" w:themeColor="text1"/>
          <w:sz w:val="22"/>
          <w:szCs w:val="22"/>
          <w:lang w:val="ru-RU" w:eastAsia="ro-MD"/>
        </w:rPr>
        <w:t>–68</w:t>
      </w:r>
      <w:r w:rsidR="00191B20" w:rsidRPr="00191B20">
        <w:rPr>
          <w:color w:val="000000" w:themeColor="text1"/>
          <w:sz w:val="22"/>
          <w:szCs w:val="22"/>
          <w:vertAlign w:val="superscript"/>
          <w:lang w:val="ru-RU" w:eastAsia="ro-MD"/>
        </w:rPr>
        <w:t>8</w:t>
      </w:r>
      <w:r w:rsidR="00191B20" w:rsidRPr="00191B20">
        <w:rPr>
          <w:color w:val="000000" w:themeColor="text1"/>
          <w:sz w:val="22"/>
          <w:szCs w:val="22"/>
          <w:lang w:val="ru-RU" w:eastAsia="ro-MD"/>
        </w:rPr>
        <w:t xml:space="preserve"> Регламента № 111/2018</w:t>
      </w:r>
      <w:r w:rsidR="00191B20" w:rsidRPr="007544BA">
        <w:rPr>
          <w:color w:val="000000" w:themeColor="text1"/>
          <w:sz w:val="22"/>
          <w:szCs w:val="22"/>
          <w:lang w:val="ru-RU" w:eastAsia="ro-MD"/>
        </w:rPr>
        <w:t>,</w:t>
      </w:r>
      <w:r w:rsidR="005F0466" w:rsidRPr="0008501B">
        <w:rPr>
          <w:color w:val="000000" w:themeColor="text1"/>
          <w:sz w:val="22"/>
          <w:szCs w:val="22"/>
          <w:lang w:val="ru-RU" w:eastAsia="ro-MD"/>
        </w:rPr>
        <w:t xml:space="preserve"> опубликовал доказательства, указывающие на наличие хорошо развитого и давно существующего рынка коммерческой недвижимости на данной территории, с показателями убыточности, не превышающими ни один из следующих пределов</w:t>
      </w:r>
      <w:r w:rsidRPr="0008501B">
        <w:rPr>
          <w:color w:val="000000" w:themeColor="text1"/>
          <w:sz w:val="22"/>
          <w:szCs w:val="22"/>
          <w:lang w:val="ru-RU" w:eastAsia="ro-MD"/>
        </w:rPr>
        <w:t>:</w:t>
      </w:r>
    </w:p>
    <w:p w14:paraId="4DDCBF97" w14:textId="4446C4CB" w:rsidR="0011444E" w:rsidRPr="00884D1F" w:rsidRDefault="0011444E" w:rsidP="0011444E">
      <w:pPr>
        <w:ind w:firstLine="567"/>
        <w:jc w:val="both"/>
        <w:rPr>
          <w:color w:val="000000" w:themeColor="text1"/>
          <w:sz w:val="22"/>
          <w:szCs w:val="22"/>
          <w:lang w:val="ro-RO" w:eastAsia="ro-MD"/>
        </w:rPr>
      </w:pPr>
      <w:r w:rsidRPr="00884D1F">
        <w:rPr>
          <w:color w:val="000000" w:themeColor="text1"/>
          <w:sz w:val="22"/>
          <w:szCs w:val="22"/>
          <w:lang w:val="ro-RO" w:eastAsia="ro-MD"/>
        </w:rPr>
        <w:t xml:space="preserve">1) </w:t>
      </w:r>
      <w:r w:rsidR="00E924C4" w:rsidRPr="007B22CB">
        <w:rPr>
          <w:color w:val="000000" w:themeColor="text1"/>
          <w:sz w:val="22"/>
          <w:szCs w:val="22"/>
          <w:lang w:val="ru-RU" w:eastAsia="ro-MD"/>
        </w:rPr>
        <w:t xml:space="preserve">соотношение между совокупными значениями, сообщаемыми банками в соответствии с подпунктами </w:t>
      </w:r>
      <w:r w:rsidR="00E924C4">
        <w:rPr>
          <w:color w:val="000000" w:themeColor="text1"/>
          <w:sz w:val="22"/>
          <w:szCs w:val="22"/>
          <w:lang w:val="ru-RU" w:eastAsia="ro-MD"/>
        </w:rPr>
        <w:t>4</w:t>
      </w:r>
      <w:r w:rsidR="00E924C4" w:rsidRPr="007B22CB">
        <w:rPr>
          <w:color w:val="000000" w:themeColor="text1"/>
          <w:sz w:val="22"/>
          <w:szCs w:val="22"/>
          <w:lang w:val="ru-RU" w:eastAsia="ro-MD"/>
        </w:rPr>
        <w:t xml:space="preserve">) и </w:t>
      </w:r>
      <w:r w:rsidR="00E924C4">
        <w:rPr>
          <w:color w:val="000000" w:themeColor="text1"/>
          <w:sz w:val="22"/>
          <w:szCs w:val="22"/>
          <w:lang w:val="ru-RU" w:eastAsia="ro-MD"/>
        </w:rPr>
        <w:t>6</w:t>
      </w:r>
      <w:r w:rsidR="00E924C4" w:rsidRPr="007B22CB">
        <w:rPr>
          <w:color w:val="000000" w:themeColor="text1"/>
          <w:sz w:val="22"/>
          <w:szCs w:val="22"/>
          <w:lang w:val="ru-RU" w:eastAsia="ro-MD"/>
        </w:rPr>
        <w:t>) приложения № 2</w:t>
      </w:r>
      <w:r w:rsidR="00E924C4" w:rsidRPr="007B22CB">
        <w:rPr>
          <w:color w:val="000000" w:themeColor="text1"/>
          <w:sz w:val="22"/>
          <w:szCs w:val="22"/>
          <w:vertAlign w:val="superscript"/>
          <w:lang w:val="ru-RU" w:eastAsia="ro-MD"/>
        </w:rPr>
        <w:t>1</w:t>
      </w:r>
      <w:r w:rsidR="00E924C4" w:rsidRPr="007B22CB">
        <w:rPr>
          <w:color w:val="000000" w:themeColor="text1"/>
          <w:sz w:val="22"/>
          <w:szCs w:val="22"/>
          <w:lang w:val="ru-RU" w:eastAsia="ro-MD"/>
        </w:rPr>
        <w:t xml:space="preserve"> к Регламенту № 111/2018, не превышает 0,3%;</w:t>
      </w:r>
    </w:p>
    <w:p w14:paraId="28AEE93C" w14:textId="72EB791C" w:rsidR="0011444E" w:rsidRPr="00884D1F" w:rsidRDefault="0011444E" w:rsidP="0011444E">
      <w:pPr>
        <w:ind w:firstLine="567"/>
        <w:jc w:val="both"/>
        <w:rPr>
          <w:color w:val="000000" w:themeColor="text1"/>
          <w:sz w:val="22"/>
          <w:szCs w:val="22"/>
          <w:lang w:val="ro-RO" w:eastAsia="ro-MD"/>
        </w:rPr>
      </w:pPr>
      <w:r w:rsidRPr="00884D1F">
        <w:rPr>
          <w:color w:val="000000" w:themeColor="text1"/>
          <w:sz w:val="22"/>
          <w:szCs w:val="22"/>
          <w:lang w:val="ro-RO" w:eastAsia="ro-MD"/>
        </w:rPr>
        <w:t xml:space="preserve">2) </w:t>
      </w:r>
      <w:r w:rsidR="00E924C4" w:rsidRPr="007B22CB">
        <w:rPr>
          <w:color w:val="000000" w:themeColor="text1"/>
          <w:sz w:val="22"/>
          <w:szCs w:val="22"/>
          <w:lang w:val="ru-RU" w:eastAsia="ro-MD"/>
        </w:rPr>
        <w:t xml:space="preserve">соотношение между совокупными значениями, сообщаемыми банками в соответствии с подпунктами </w:t>
      </w:r>
      <w:r w:rsidR="00E924C4">
        <w:rPr>
          <w:color w:val="000000" w:themeColor="text1"/>
          <w:sz w:val="22"/>
          <w:szCs w:val="22"/>
          <w:lang w:val="ru-RU" w:eastAsia="ro-MD"/>
        </w:rPr>
        <w:t>5</w:t>
      </w:r>
      <w:r w:rsidR="00E924C4" w:rsidRPr="007B22CB">
        <w:rPr>
          <w:color w:val="000000" w:themeColor="text1"/>
          <w:sz w:val="22"/>
          <w:szCs w:val="22"/>
          <w:lang w:val="ru-RU" w:eastAsia="ro-MD"/>
        </w:rPr>
        <w:t xml:space="preserve">) и </w:t>
      </w:r>
      <w:r w:rsidR="00E924C4">
        <w:rPr>
          <w:color w:val="000000" w:themeColor="text1"/>
          <w:sz w:val="22"/>
          <w:szCs w:val="22"/>
          <w:lang w:val="ru-RU" w:eastAsia="ro-MD"/>
        </w:rPr>
        <w:t>6</w:t>
      </w:r>
      <w:r w:rsidR="00E924C4" w:rsidRPr="007B22CB">
        <w:rPr>
          <w:color w:val="000000" w:themeColor="text1"/>
          <w:sz w:val="22"/>
          <w:szCs w:val="22"/>
          <w:lang w:val="ru-RU" w:eastAsia="ro-MD"/>
        </w:rPr>
        <w:t>) пункта 1) приложения № 2</w:t>
      </w:r>
      <w:r w:rsidR="00E924C4" w:rsidRPr="007B22CB">
        <w:rPr>
          <w:color w:val="000000" w:themeColor="text1"/>
          <w:sz w:val="22"/>
          <w:szCs w:val="22"/>
          <w:vertAlign w:val="superscript"/>
          <w:lang w:val="ru-RU" w:eastAsia="ro-MD"/>
        </w:rPr>
        <w:t>1</w:t>
      </w:r>
      <w:r w:rsidR="00E924C4" w:rsidRPr="007B22CB">
        <w:rPr>
          <w:color w:val="000000" w:themeColor="text1"/>
          <w:sz w:val="22"/>
          <w:szCs w:val="22"/>
          <w:lang w:val="ru-RU" w:eastAsia="ro-MD"/>
        </w:rPr>
        <w:t xml:space="preserve"> к Регламенту № 111/2018, не превышает 0,5%</w:t>
      </w:r>
    </w:p>
    <w:p w14:paraId="5936736B" w14:textId="3A0B9754" w:rsidR="0011444E" w:rsidRPr="001067C0" w:rsidRDefault="0011444E" w:rsidP="00930587">
      <w:pPr>
        <w:jc w:val="both"/>
        <w:rPr>
          <w:color w:val="000000" w:themeColor="text1"/>
          <w:sz w:val="22"/>
          <w:szCs w:val="22"/>
          <w:lang w:val="rm-CH" w:eastAsia="ro-MD"/>
        </w:rPr>
      </w:pPr>
      <w:r w:rsidRPr="001067C0">
        <w:rPr>
          <w:b/>
          <w:bCs/>
          <w:color w:val="000000" w:themeColor="text1"/>
          <w:sz w:val="22"/>
          <w:szCs w:val="22"/>
          <w:lang w:val="rm-CH" w:eastAsia="ro-MD"/>
        </w:rPr>
        <w:t>34</w:t>
      </w:r>
      <w:r w:rsidRPr="001067C0">
        <w:rPr>
          <w:b/>
          <w:bCs/>
          <w:color w:val="000000" w:themeColor="text1"/>
          <w:sz w:val="22"/>
          <w:szCs w:val="22"/>
          <w:vertAlign w:val="superscript"/>
          <w:lang w:val="rm-CH" w:eastAsia="ro-MD"/>
        </w:rPr>
        <w:t>7</w:t>
      </w:r>
      <w:r w:rsidRPr="001067C0">
        <w:rPr>
          <w:b/>
          <w:bCs/>
          <w:color w:val="000000" w:themeColor="text1"/>
          <w:sz w:val="22"/>
          <w:szCs w:val="22"/>
          <w:lang w:val="rm-CH" w:eastAsia="ro-MD"/>
        </w:rPr>
        <w:t>.</w:t>
      </w:r>
      <w:r w:rsidRPr="001067C0">
        <w:rPr>
          <w:color w:val="000000" w:themeColor="text1"/>
          <w:sz w:val="22"/>
          <w:szCs w:val="22"/>
          <w:lang w:val="rm-CH" w:eastAsia="ro-MD"/>
        </w:rPr>
        <w:t xml:space="preserve"> </w:t>
      </w:r>
      <w:r w:rsidR="001067C0" w:rsidRPr="001067C0">
        <w:rPr>
          <w:color w:val="000000" w:themeColor="text1"/>
          <w:sz w:val="22"/>
          <w:szCs w:val="22"/>
          <w:lang w:val="rm-CH" w:eastAsia="ro-MD"/>
        </w:rPr>
        <w:t>Если одно из условий, предусмотренных в подпунктах 1) и 2) пункта 34</w:t>
      </w:r>
      <w:r w:rsidR="001067C0" w:rsidRPr="001067C0">
        <w:rPr>
          <w:color w:val="000000" w:themeColor="text1"/>
          <w:sz w:val="22"/>
          <w:szCs w:val="22"/>
          <w:vertAlign w:val="superscript"/>
          <w:lang w:val="rm-CH" w:eastAsia="ro-MD"/>
        </w:rPr>
        <w:t>6</w:t>
      </w:r>
      <w:r w:rsidR="001067C0" w:rsidRPr="001067C0">
        <w:rPr>
          <w:color w:val="000000" w:themeColor="text1"/>
          <w:sz w:val="22"/>
          <w:szCs w:val="22"/>
          <w:lang w:val="rm-CH" w:eastAsia="ro-MD"/>
        </w:rPr>
        <w:t>, не выполняется в определенном году, банки не применяют порядок, указанный в данном пункте, до тех пор, пока в последующем году не будут выполнены оба условия</w:t>
      </w:r>
      <w:r w:rsidRPr="001067C0">
        <w:rPr>
          <w:color w:val="000000" w:themeColor="text1"/>
          <w:sz w:val="22"/>
          <w:szCs w:val="22"/>
          <w:lang w:val="rm-CH" w:eastAsia="ro-MD"/>
        </w:rPr>
        <w:t>.</w:t>
      </w:r>
    </w:p>
    <w:p w14:paraId="18F6BACC" w14:textId="142CFDAE" w:rsidR="0011444E" w:rsidRPr="002F26C5" w:rsidRDefault="0011444E" w:rsidP="00930587">
      <w:pPr>
        <w:jc w:val="both"/>
        <w:rPr>
          <w:color w:val="000000" w:themeColor="text1"/>
          <w:sz w:val="22"/>
          <w:szCs w:val="22"/>
          <w:lang w:val="ru-RU" w:eastAsia="ro-MD"/>
        </w:rPr>
      </w:pPr>
      <w:r w:rsidRPr="00884D1F">
        <w:rPr>
          <w:b/>
          <w:bCs/>
          <w:color w:val="000000" w:themeColor="text1"/>
          <w:sz w:val="22"/>
          <w:szCs w:val="22"/>
          <w:lang w:val="ro-RO" w:eastAsia="ro-MD"/>
        </w:rPr>
        <w:t>34</w:t>
      </w:r>
      <w:r w:rsidRPr="00884D1F">
        <w:rPr>
          <w:b/>
          <w:bCs/>
          <w:color w:val="000000" w:themeColor="text1"/>
          <w:sz w:val="22"/>
          <w:szCs w:val="22"/>
          <w:vertAlign w:val="superscript"/>
          <w:lang w:val="ro-RO" w:eastAsia="ro-MD"/>
        </w:rPr>
        <w:t>8</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2F26C5" w:rsidRPr="002F26C5">
        <w:rPr>
          <w:color w:val="000000" w:themeColor="text1"/>
          <w:sz w:val="22"/>
          <w:szCs w:val="22"/>
          <w:lang w:val="ru-RU" w:eastAsia="ro-MD"/>
        </w:rPr>
        <w:t>Банки могут применять исключения, указанные в пунктах 34</w:t>
      </w:r>
      <w:r w:rsidR="002F26C5" w:rsidRPr="002F26C5">
        <w:rPr>
          <w:color w:val="000000" w:themeColor="text1"/>
          <w:sz w:val="22"/>
          <w:szCs w:val="22"/>
          <w:vertAlign w:val="superscript"/>
          <w:lang w:val="ru-RU" w:eastAsia="ro-MD"/>
        </w:rPr>
        <w:t>4</w:t>
      </w:r>
      <w:r w:rsidR="002F26C5" w:rsidRPr="002F26C5">
        <w:rPr>
          <w:color w:val="000000" w:themeColor="text1"/>
          <w:sz w:val="22"/>
          <w:szCs w:val="22"/>
          <w:lang w:val="ru-RU" w:eastAsia="ro-MD"/>
        </w:rPr>
        <w:t xml:space="preserve"> и 34</w:t>
      </w:r>
      <w:r w:rsidR="002F26C5" w:rsidRPr="002F26C5">
        <w:rPr>
          <w:color w:val="000000" w:themeColor="text1"/>
          <w:sz w:val="22"/>
          <w:szCs w:val="22"/>
          <w:vertAlign w:val="superscript"/>
          <w:lang w:val="ru-RU" w:eastAsia="ro-MD"/>
        </w:rPr>
        <w:t>6</w:t>
      </w:r>
      <w:r w:rsidR="002F26C5" w:rsidRPr="002F26C5">
        <w:rPr>
          <w:color w:val="000000" w:themeColor="text1"/>
          <w:sz w:val="22"/>
          <w:szCs w:val="22"/>
          <w:lang w:val="ru-RU" w:eastAsia="ro-MD"/>
        </w:rPr>
        <w:t>, также в тех случаях, когда компетентный орган другого государства, применяющий механизмы надзора и регулирования, по крайней мере эквивалентные тем, которые применяются в Республике Молдова в отношении банков в соответствии с приложением № 5 к Регламенту № 111/2018, опубликует соответствующие коэффициенты убыточности для подверженностей, обеспеченных жилой или коммерческой недвижимостью, расположенной на территории данного государства</w:t>
      </w:r>
      <w:r w:rsidRPr="002F26C5">
        <w:rPr>
          <w:color w:val="000000" w:themeColor="text1"/>
          <w:sz w:val="22"/>
          <w:szCs w:val="22"/>
          <w:lang w:val="ru-RU" w:eastAsia="ro-MD"/>
        </w:rPr>
        <w:t>.</w:t>
      </w:r>
    </w:p>
    <w:p w14:paraId="4C68DF4D" w14:textId="63C97538" w:rsidR="0011444E" w:rsidRPr="00C76D25" w:rsidRDefault="0011444E" w:rsidP="00930587">
      <w:pPr>
        <w:jc w:val="both"/>
        <w:rPr>
          <w:color w:val="000000" w:themeColor="text1"/>
          <w:sz w:val="22"/>
          <w:szCs w:val="22"/>
          <w:lang w:val="ru-RU" w:eastAsia="ro-MD"/>
        </w:rPr>
      </w:pPr>
      <w:r w:rsidRPr="00C76D25">
        <w:rPr>
          <w:b/>
          <w:bCs/>
          <w:color w:val="000000" w:themeColor="text1"/>
          <w:sz w:val="22"/>
          <w:szCs w:val="22"/>
          <w:lang w:val="ru-RU" w:eastAsia="ro-MD"/>
        </w:rPr>
        <w:t>34</w:t>
      </w:r>
      <w:r w:rsidRPr="00C76D25">
        <w:rPr>
          <w:b/>
          <w:bCs/>
          <w:color w:val="000000" w:themeColor="text1"/>
          <w:sz w:val="22"/>
          <w:szCs w:val="22"/>
          <w:vertAlign w:val="superscript"/>
          <w:lang w:val="ru-RU" w:eastAsia="ro-MD"/>
        </w:rPr>
        <w:t>9</w:t>
      </w:r>
      <w:r w:rsidRPr="00C76D25">
        <w:rPr>
          <w:b/>
          <w:bCs/>
          <w:color w:val="000000" w:themeColor="text1"/>
          <w:sz w:val="22"/>
          <w:szCs w:val="22"/>
          <w:lang w:val="ru-RU" w:eastAsia="ro-MD"/>
        </w:rPr>
        <w:t>.</w:t>
      </w:r>
      <w:r w:rsidRPr="00C76D25">
        <w:rPr>
          <w:color w:val="000000" w:themeColor="text1"/>
          <w:sz w:val="22"/>
          <w:szCs w:val="22"/>
          <w:lang w:val="ru-RU" w:eastAsia="ro-MD"/>
        </w:rPr>
        <w:t xml:space="preserve"> </w:t>
      </w:r>
      <w:r w:rsidR="00C76D25" w:rsidRPr="00C76D25">
        <w:rPr>
          <w:color w:val="000000" w:themeColor="text1"/>
          <w:sz w:val="22"/>
          <w:szCs w:val="22"/>
          <w:lang w:val="ru-RU" w:eastAsia="ro-MD"/>
        </w:rPr>
        <w:t xml:space="preserve">Банки могут использовать в качестве приемлемого вещного обеспечения требования, связанные с коммерческой сделкой или сделками с первоначальным сроком погашения не более одного года. К приемлемым требованиям не относятся требования, связанные с секьюритизацией, </w:t>
      </w:r>
      <w:proofErr w:type="spellStart"/>
      <w:r w:rsidR="00596ABA" w:rsidRPr="00596ABA">
        <w:rPr>
          <w:color w:val="000000" w:themeColor="text1"/>
          <w:sz w:val="22"/>
          <w:szCs w:val="22"/>
          <w:lang w:val="ru-RU" w:eastAsia="ro-MD"/>
        </w:rPr>
        <w:t>субакционерным</w:t>
      </w:r>
      <w:proofErr w:type="spellEnd"/>
      <w:r w:rsidR="00596ABA" w:rsidRPr="00596ABA">
        <w:rPr>
          <w:color w:val="000000" w:themeColor="text1"/>
          <w:sz w:val="22"/>
          <w:szCs w:val="22"/>
          <w:lang w:val="ru-RU" w:eastAsia="ro-MD"/>
        </w:rPr>
        <w:t xml:space="preserve"> участием</w:t>
      </w:r>
      <w:r w:rsidR="00596ABA">
        <w:rPr>
          <w:color w:val="000000" w:themeColor="text1"/>
          <w:sz w:val="22"/>
          <w:szCs w:val="22"/>
          <w:lang w:val="ru-RU" w:eastAsia="ro-MD"/>
        </w:rPr>
        <w:t xml:space="preserve"> </w:t>
      </w:r>
      <w:r w:rsidR="00C76D25" w:rsidRPr="00C76D25">
        <w:rPr>
          <w:color w:val="000000" w:themeColor="text1"/>
          <w:sz w:val="22"/>
          <w:szCs w:val="22"/>
          <w:lang w:val="ru-RU" w:eastAsia="ro-MD"/>
        </w:rPr>
        <w:t>или кредитными производными финансовыми инструментами, а также суммы, причитающиеся от аффилированных лиц</w:t>
      </w:r>
      <w:r w:rsidRPr="00C76D25">
        <w:rPr>
          <w:color w:val="000000" w:themeColor="text1"/>
          <w:sz w:val="22"/>
          <w:szCs w:val="22"/>
          <w:lang w:val="ru-RU" w:eastAsia="ro-MD"/>
        </w:rPr>
        <w:t>.</w:t>
      </w:r>
    </w:p>
    <w:p w14:paraId="6E4B79D7" w14:textId="45617BA9" w:rsidR="0011444E" w:rsidRPr="00884D1F" w:rsidRDefault="0011444E" w:rsidP="00930587">
      <w:pPr>
        <w:jc w:val="both"/>
        <w:rPr>
          <w:color w:val="000000" w:themeColor="text1"/>
          <w:sz w:val="22"/>
          <w:szCs w:val="22"/>
          <w:lang w:val="ro-RO" w:eastAsia="ro-MD"/>
        </w:rPr>
      </w:pPr>
      <w:r w:rsidRPr="00884D1F">
        <w:rPr>
          <w:b/>
          <w:bCs/>
          <w:color w:val="000000" w:themeColor="text1"/>
          <w:sz w:val="22"/>
          <w:szCs w:val="22"/>
          <w:lang w:val="ro-RO" w:eastAsia="ro-MD"/>
        </w:rPr>
        <w:t>34</w:t>
      </w:r>
      <w:r w:rsidRPr="00884D1F">
        <w:rPr>
          <w:b/>
          <w:bCs/>
          <w:color w:val="000000" w:themeColor="text1"/>
          <w:sz w:val="22"/>
          <w:szCs w:val="22"/>
          <w:vertAlign w:val="superscript"/>
          <w:lang w:val="ro-RO" w:eastAsia="ro-MD"/>
        </w:rPr>
        <w:t>10</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EC58C3" w:rsidRPr="00EC58C3">
        <w:rPr>
          <w:color w:val="000000" w:themeColor="text1"/>
          <w:sz w:val="22"/>
          <w:szCs w:val="22"/>
          <w:lang w:val="ru-RU" w:eastAsia="ro-MD"/>
        </w:rPr>
        <w:t xml:space="preserve">В случае если банк </w:t>
      </w:r>
      <w:r w:rsidR="00344D40">
        <w:rPr>
          <w:color w:val="000000" w:themeColor="text1"/>
          <w:sz w:val="22"/>
          <w:szCs w:val="22"/>
          <w:lang w:val="ru-RU" w:eastAsia="ro-MD"/>
        </w:rPr>
        <w:t xml:space="preserve">публичного </w:t>
      </w:r>
      <w:r w:rsidR="00EC58C3" w:rsidRPr="00EC58C3">
        <w:rPr>
          <w:color w:val="000000" w:themeColor="text1"/>
          <w:sz w:val="22"/>
          <w:szCs w:val="22"/>
          <w:lang w:val="ru-RU" w:eastAsia="ro-MD"/>
        </w:rPr>
        <w:t>развития предоставляет льготный кредит</w:t>
      </w:r>
      <w:r w:rsidR="00191B20" w:rsidRPr="007544BA">
        <w:rPr>
          <w:color w:val="000000" w:themeColor="text1"/>
          <w:sz w:val="22"/>
          <w:szCs w:val="22"/>
          <w:lang w:val="ru-RU" w:eastAsia="ro-MD"/>
        </w:rPr>
        <w:t>,</w:t>
      </w:r>
      <w:r w:rsidR="00EC58C3" w:rsidRPr="00EC58C3">
        <w:rPr>
          <w:color w:val="000000" w:themeColor="text1"/>
          <w:sz w:val="22"/>
          <w:szCs w:val="22"/>
          <w:lang w:val="ru-RU" w:eastAsia="ro-MD"/>
        </w:rPr>
        <w:t xml:space="preserve"> в целях содействия достижению целей государственной политики центрального правительства, региональной администрации или местных органов, другому банку или небанковской финансовой компании , которая уполномочена осуществлять деятельность, указанную в подпунктах b) или c) части (1) статье 14  Закона № 202/2017 и которая соответствует условиям, предусмотренным в пункте 51 Регламента № 111/2018, </w:t>
      </w:r>
      <w:r w:rsidR="00FC7EED" w:rsidRPr="00FC7EED">
        <w:rPr>
          <w:color w:val="000000" w:themeColor="text1"/>
          <w:sz w:val="22"/>
          <w:szCs w:val="22"/>
          <w:lang w:val="ru-RU" w:eastAsia="ro-MD"/>
        </w:rPr>
        <w:t>и если этот банк или небанковская финансовая компания прямо или косвенно</w:t>
      </w:r>
      <w:r w:rsidR="00FC7EED">
        <w:rPr>
          <w:color w:val="000000" w:themeColor="text1"/>
          <w:sz w:val="22"/>
          <w:szCs w:val="22"/>
          <w:lang w:val="ru-RU" w:eastAsia="ro-MD"/>
        </w:rPr>
        <w:t xml:space="preserve"> </w:t>
      </w:r>
      <w:r w:rsidR="00EC58C3" w:rsidRPr="00EC58C3">
        <w:rPr>
          <w:color w:val="000000" w:themeColor="text1"/>
          <w:sz w:val="22"/>
          <w:szCs w:val="22"/>
          <w:lang w:val="ru-RU" w:eastAsia="ro-MD"/>
        </w:rPr>
        <w:t xml:space="preserve"> передает соответствующий льготный кредит конечному заемщику и уступает банку общественного развития задолженность по льготному кредиту в качестве вещного обеспечения, банк </w:t>
      </w:r>
      <w:r w:rsidR="0040602B">
        <w:rPr>
          <w:color w:val="000000" w:themeColor="text1"/>
          <w:sz w:val="22"/>
          <w:szCs w:val="22"/>
          <w:lang w:val="ru-RU" w:eastAsia="ro-MD"/>
        </w:rPr>
        <w:t>публичного</w:t>
      </w:r>
      <w:r w:rsidR="00EC58C3" w:rsidRPr="00EC58C3">
        <w:rPr>
          <w:color w:val="000000" w:themeColor="text1"/>
          <w:sz w:val="22"/>
          <w:szCs w:val="22"/>
          <w:lang w:val="ru-RU" w:eastAsia="ro-MD"/>
        </w:rPr>
        <w:t xml:space="preserve"> развития может использовать уступленную задолженность в качестве приемлемого вещного обеспечения, независимо от первоначального срока погашения уступленной задолженности</w:t>
      </w:r>
      <w:r w:rsidRPr="00884D1F">
        <w:rPr>
          <w:color w:val="000000" w:themeColor="text1"/>
          <w:sz w:val="22"/>
          <w:szCs w:val="22"/>
          <w:lang w:val="ro-RO" w:eastAsia="ro-MD"/>
        </w:rPr>
        <w:t>.</w:t>
      </w:r>
    </w:p>
    <w:p w14:paraId="608E2A62" w14:textId="5FC4F96E" w:rsidR="0011444E" w:rsidRPr="003E669C" w:rsidRDefault="0011444E" w:rsidP="00930587">
      <w:pPr>
        <w:jc w:val="both"/>
        <w:rPr>
          <w:color w:val="000000" w:themeColor="text1"/>
          <w:sz w:val="22"/>
          <w:szCs w:val="22"/>
          <w:lang w:val="ru-RU" w:eastAsia="ro-MD"/>
        </w:rPr>
      </w:pPr>
      <w:r w:rsidRPr="003E669C">
        <w:rPr>
          <w:b/>
          <w:bCs/>
          <w:color w:val="000000" w:themeColor="text1"/>
          <w:sz w:val="22"/>
          <w:szCs w:val="22"/>
          <w:lang w:val="ru-RU" w:eastAsia="ro-MD"/>
        </w:rPr>
        <w:t>34</w:t>
      </w:r>
      <w:r w:rsidRPr="003E669C">
        <w:rPr>
          <w:b/>
          <w:bCs/>
          <w:color w:val="000000" w:themeColor="text1"/>
          <w:sz w:val="22"/>
          <w:szCs w:val="22"/>
          <w:vertAlign w:val="superscript"/>
          <w:lang w:val="ru-RU" w:eastAsia="ro-MD"/>
        </w:rPr>
        <w:t>11</w:t>
      </w:r>
      <w:r w:rsidRPr="003E669C">
        <w:rPr>
          <w:b/>
          <w:bCs/>
          <w:color w:val="000000" w:themeColor="text1"/>
          <w:sz w:val="22"/>
          <w:szCs w:val="22"/>
          <w:lang w:val="ru-RU" w:eastAsia="ro-MD"/>
        </w:rPr>
        <w:t>.</w:t>
      </w:r>
      <w:r w:rsidRPr="003E669C">
        <w:rPr>
          <w:color w:val="000000" w:themeColor="text1"/>
          <w:sz w:val="22"/>
          <w:szCs w:val="22"/>
          <w:lang w:val="ru-RU" w:eastAsia="ro-MD"/>
        </w:rPr>
        <w:t xml:space="preserve"> </w:t>
      </w:r>
      <w:r w:rsidR="00807ED5" w:rsidRPr="003E669C">
        <w:rPr>
          <w:color w:val="000000" w:themeColor="text1"/>
          <w:sz w:val="22"/>
          <w:szCs w:val="22"/>
          <w:lang w:val="ru-RU" w:eastAsia="ro-MD"/>
        </w:rPr>
        <w:t>В смысле пункта 34</w:t>
      </w:r>
      <w:r w:rsidR="00807ED5" w:rsidRPr="003E669C">
        <w:rPr>
          <w:color w:val="000000" w:themeColor="text1"/>
          <w:sz w:val="22"/>
          <w:szCs w:val="22"/>
          <w:vertAlign w:val="superscript"/>
          <w:lang w:val="ru-RU" w:eastAsia="ro-MD"/>
        </w:rPr>
        <w:t>10</w:t>
      </w:r>
      <w:r w:rsidR="00807ED5" w:rsidRPr="003E669C">
        <w:rPr>
          <w:color w:val="000000" w:themeColor="text1"/>
          <w:sz w:val="22"/>
          <w:szCs w:val="22"/>
          <w:lang w:val="ru-RU" w:eastAsia="ro-MD"/>
        </w:rPr>
        <w:t xml:space="preserve"> банк публичного развития представляет собой банк, который совокупно отвечает следующим условиям</w:t>
      </w:r>
      <w:r w:rsidRPr="003E669C">
        <w:rPr>
          <w:color w:val="000000" w:themeColor="text1"/>
          <w:sz w:val="22"/>
          <w:szCs w:val="22"/>
          <w:lang w:val="ru-RU" w:eastAsia="ro-MD"/>
        </w:rPr>
        <w:t>:</w:t>
      </w:r>
    </w:p>
    <w:p w14:paraId="48FCE66A" w14:textId="48227CA3" w:rsidR="0011444E" w:rsidRPr="003E669C" w:rsidRDefault="0011444E" w:rsidP="0011444E">
      <w:pPr>
        <w:ind w:firstLine="567"/>
        <w:jc w:val="both"/>
        <w:rPr>
          <w:color w:val="000000" w:themeColor="text1"/>
          <w:sz w:val="22"/>
          <w:szCs w:val="22"/>
          <w:lang w:val="ru-RU" w:eastAsia="ro-MD"/>
        </w:rPr>
      </w:pPr>
      <w:r w:rsidRPr="003E669C">
        <w:rPr>
          <w:color w:val="000000" w:themeColor="text1"/>
          <w:sz w:val="22"/>
          <w:szCs w:val="22"/>
          <w:lang w:val="ru-RU" w:eastAsia="ro-MD"/>
        </w:rPr>
        <w:t xml:space="preserve">1) </w:t>
      </w:r>
      <w:r w:rsidR="0085768B" w:rsidRPr="003E669C">
        <w:rPr>
          <w:color w:val="000000" w:themeColor="text1"/>
          <w:sz w:val="22"/>
          <w:szCs w:val="22"/>
          <w:lang w:val="ru-RU" w:eastAsia="ro-MD"/>
        </w:rPr>
        <w:t>он был учрежден центральной, региональной администрацией или местным органом власти Республики Молдова</w:t>
      </w:r>
      <w:r w:rsidRPr="003E669C">
        <w:rPr>
          <w:color w:val="000000" w:themeColor="text1"/>
          <w:sz w:val="22"/>
          <w:szCs w:val="22"/>
          <w:lang w:val="ru-RU" w:eastAsia="ro-MD"/>
        </w:rPr>
        <w:t>;</w:t>
      </w:r>
    </w:p>
    <w:p w14:paraId="2920512B" w14:textId="57A12604" w:rsidR="0011444E" w:rsidRPr="003E669C" w:rsidRDefault="0011444E" w:rsidP="0011444E">
      <w:pPr>
        <w:ind w:firstLine="567"/>
        <w:jc w:val="both"/>
        <w:rPr>
          <w:color w:val="000000" w:themeColor="text1"/>
          <w:sz w:val="22"/>
          <w:szCs w:val="22"/>
          <w:lang w:val="ru-RU" w:eastAsia="ro-MD"/>
        </w:rPr>
      </w:pPr>
      <w:r w:rsidRPr="003E669C">
        <w:rPr>
          <w:color w:val="000000" w:themeColor="text1"/>
          <w:sz w:val="22"/>
          <w:szCs w:val="22"/>
          <w:lang w:val="ru-RU" w:eastAsia="ro-MD"/>
        </w:rPr>
        <w:lastRenderedPageBreak/>
        <w:t xml:space="preserve">2) </w:t>
      </w:r>
      <w:r w:rsidR="0085768B" w:rsidRPr="003E669C">
        <w:rPr>
          <w:color w:val="000000" w:themeColor="text1"/>
          <w:sz w:val="22"/>
          <w:szCs w:val="22"/>
          <w:lang w:val="ru-RU" w:eastAsia="ro-MD"/>
        </w:rPr>
        <w:t>его деятельность ограничивается содействием достижению конкретных целей государственной финансовой, социальной или экономической политики в соответствии с правовой базой и положениями, регулирующими деятельность данного банка, включая устав, на неконкурентной основе. Цели государственной политики могут включать предоставление финансирования в целях содействия или развития определенных секторов экономики или географических регионов Республики Молдова</w:t>
      </w:r>
      <w:r w:rsidRPr="003E669C">
        <w:rPr>
          <w:color w:val="000000" w:themeColor="text1"/>
          <w:sz w:val="22"/>
          <w:szCs w:val="22"/>
          <w:lang w:val="ru-RU" w:eastAsia="ro-MD"/>
        </w:rPr>
        <w:t>;</w:t>
      </w:r>
    </w:p>
    <w:p w14:paraId="57D69E3C" w14:textId="534C5EE6" w:rsidR="0011444E" w:rsidRPr="003E669C" w:rsidRDefault="0011444E" w:rsidP="0011444E">
      <w:pPr>
        <w:ind w:firstLine="567"/>
        <w:jc w:val="both"/>
        <w:rPr>
          <w:color w:val="000000" w:themeColor="text1"/>
          <w:sz w:val="22"/>
          <w:szCs w:val="22"/>
          <w:lang w:val="ru-RU" w:eastAsia="ro-MD"/>
        </w:rPr>
      </w:pPr>
      <w:r w:rsidRPr="003E669C">
        <w:rPr>
          <w:color w:val="000000" w:themeColor="text1"/>
          <w:sz w:val="22"/>
          <w:szCs w:val="22"/>
          <w:lang w:val="ru-RU" w:eastAsia="ro-MD"/>
        </w:rPr>
        <w:t xml:space="preserve">3) </w:t>
      </w:r>
      <w:r w:rsidR="003E669C" w:rsidRPr="003E669C">
        <w:rPr>
          <w:color w:val="000000" w:themeColor="text1"/>
          <w:sz w:val="22"/>
          <w:szCs w:val="22"/>
          <w:lang w:val="ru-RU" w:eastAsia="ro-MD"/>
        </w:rPr>
        <w:t>его целью не является максимизация прибыли или доли рынка</w:t>
      </w:r>
      <w:r w:rsidRPr="003E669C">
        <w:rPr>
          <w:color w:val="000000" w:themeColor="text1"/>
          <w:sz w:val="22"/>
          <w:szCs w:val="22"/>
          <w:lang w:val="ru-RU" w:eastAsia="ro-MD"/>
        </w:rPr>
        <w:t>;</w:t>
      </w:r>
    </w:p>
    <w:p w14:paraId="5F8145CD" w14:textId="519C0378" w:rsidR="0011444E" w:rsidRPr="003E669C" w:rsidRDefault="0011444E" w:rsidP="0011444E">
      <w:pPr>
        <w:ind w:firstLine="567"/>
        <w:jc w:val="both"/>
        <w:rPr>
          <w:color w:val="000000" w:themeColor="text1"/>
          <w:sz w:val="22"/>
          <w:szCs w:val="22"/>
          <w:lang w:val="ru-RU" w:eastAsia="ro-MD"/>
        </w:rPr>
      </w:pPr>
      <w:r w:rsidRPr="003E669C">
        <w:rPr>
          <w:color w:val="000000" w:themeColor="text1"/>
          <w:sz w:val="22"/>
          <w:szCs w:val="22"/>
          <w:lang w:val="ru-RU" w:eastAsia="ro-MD"/>
        </w:rPr>
        <w:t xml:space="preserve">4) </w:t>
      </w:r>
      <w:r w:rsidR="003E669C" w:rsidRPr="003E669C">
        <w:rPr>
          <w:color w:val="000000" w:themeColor="text1"/>
          <w:sz w:val="22"/>
          <w:szCs w:val="22"/>
          <w:lang w:val="ru-RU" w:eastAsia="ro-MD"/>
        </w:rPr>
        <w:t>с учетом применимых норм в отношении государственной помощи центральная администрация, региональная администрация или местный орган обязаны защищать жизнеспособность банка или гарантировать, прямо или косвенно, не менее 90% требований к собственным средствам, требований к финансированию или предоставленных банком промо-кредитов</w:t>
      </w:r>
      <w:r w:rsidRPr="003E669C">
        <w:rPr>
          <w:color w:val="000000" w:themeColor="text1"/>
          <w:sz w:val="22"/>
          <w:szCs w:val="22"/>
          <w:lang w:val="ru-RU" w:eastAsia="ro-MD"/>
        </w:rPr>
        <w:t>;</w:t>
      </w:r>
    </w:p>
    <w:p w14:paraId="7D5FB9C9" w14:textId="1885E16D" w:rsidR="0011444E" w:rsidRPr="003E669C" w:rsidRDefault="0011444E" w:rsidP="0011444E">
      <w:pPr>
        <w:ind w:firstLine="567"/>
        <w:jc w:val="both"/>
        <w:rPr>
          <w:color w:val="000000" w:themeColor="text1"/>
          <w:sz w:val="22"/>
          <w:szCs w:val="22"/>
          <w:lang w:val="ru-RU" w:eastAsia="ro-MD"/>
        </w:rPr>
      </w:pPr>
      <w:r w:rsidRPr="003E669C">
        <w:rPr>
          <w:color w:val="000000" w:themeColor="text1"/>
          <w:sz w:val="22"/>
          <w:szCs w:val="22"/>
          <w:lang w:val="ru-RU" w:eastAsia="ro-MD"/>
        </w:rPr>
        <w:t xml:space="preserve">5) </w:t>
      </w:r>
      <w:r w:rsidR="003E669C" w:rsidRPr="003E669C">
        <w:rPr>
          <w:color w:val="000000" w:themeColor="text1"/>
          <w:sz w:val="22"/>
          <w:szCs w:val="22"/>
          <w:lang w:val="ru-RU" w:eastAsia="ro-MD"/>
        </w:rPr>
        <w:t>не принимает депозиты, покрываемые в соответствии с Законом о гарантировании депозитов в банках</w:t>
      </w:r>
      <w:r w:rsidR="00940AEE">
        <w:rPr>
          <w:color w:val="000000" w:themeColor="text1"/>
          <w:sz w:val="22"/>
          <w:szCs w:val="22"/>
          <w:lang w:val="ru-RU" w:eastAsia="ro-MD"/>
        </w:rPr>
        <w:t xml:space="preserve"> </w:t>
      </w:r>
      <w:r w:rsidR="00940AEE" w:rsidRPr="003E669C">
        <w:rPr>
          <w:color w:val="000000" w:themeColor="text1"/>
          <w:sz w:val="22"/>
          <w:szCs w:val="22"/>
          <w:lang w:val="ru-RU" w:eastAsia="ro-MD"/>
        </w:rPr>
        <w:t>№ 160/2023</w:t>
      </w:r>
      <w:r w:rsidR="003E669C" w:rsidRPr="003E669C">
        <w:rPr>
          <w:color w:val="000000" w:themeColor="text1"/>
          <w:sz w:val="22"/>
          <w:szCs w:val="22"/>
          <w:lang w:val="ru-RU" w:eastAsia="ro-MD"/>
        </w:rPr>
        <w:t>, которые могут быть классифицированы как срочные депозиты или сберегательные депозиты потребителей</w:t>
      </w:r>
      <w:r w:rsidRPr="003E669C">
        <w:rPr>
          <w:color w:val="000000" w:themeColor="text1"/>
          <w:sz w:val="22"/>
          <w:szCs w:val="22"/>
          <w:lang w:val="ru-RU" w:eastAsia="ro-MD"/>
        </w:rPr>
        <w:t>.</w:t>
      </w:r>
    </w:p>
    <w:p w14:paraId="5C675EEF" w14:textId="5FC0D108" w:rsidR="0011444E" w:rsidRPr="00673002" w:rsidRDefault="0011444E" w:rsidP="00930587">
      <w:pPr>
        <w:jc w:val="both"/>
        <w:rPr>
          <w:color w:val="000000" w:themeColor="text1"/>
          <w:sz w:val="22"/>
          <w:szCs w:val="22"/>
          <w:lang w:val="ru-RU" w:eastAsia="ro-MD"/>
        </w:rPr>
      </w:pPr>
      <w:r w:rsidRPr="00673002">
        <w:rPr>
          <w:b/>
          <w:bCs/>
          <w:color w:val="000000" w:themeColor="text1"/>
          <w:sz w:val="22"/>
          <w:szCs w:val="22"/>
          <w:lang w:val="ru-RU" w:eastAsia="ro-MD"/>
        </w:rPr>
        <w:t>34</w:t>
      </w:r>
      <w:r w:rsidRPr="00673002">
        <w:rPr>
          <w:b/>
          <w:bCs/>
          <w:color w:val="000000" w:themeColor="text1"/>
          <w:sz w:val="22"/>
          <w:szCs w:val="22"/>
          <w:vertAlign w:val="superscript"/>
          <w:lang w:val="ru-RU" w:eastAsia="ro-MD"/>
        </w:rPr>
        <w:t>12</w:t>
      </w:r>
      <w:r w:rsidRPr="00673002">
        <w:rPr>
          <w:b/>
          <w:bCs/>
          <w:color w:val="000000" w:themeColor="text1"/>
          <w:sz w:val="22"/>
          <w:szCs w:val="22"/>
          <w:lang w:val="ru-RU" w:eastAsia="ro-MD"/>
        </w:rPr>
        <w:t>.</w:t>
      </w:r>
      <w:r w:rsidRPr="00673002">
        <w:rPr>
          <w:color w:val="000000" w:themeColor="text1"/>
          <w:sz w:val="22"/>
          <w:szCs w:val="22"/>
          <w:lang w:val="ru-RU" w:eastAsia="ro-MD"/>
        </w:rPr>
        <w:t xml:space="preserve"> </w:t>
      </w:r>
      <w:r w:rsidR="0014073A" w:rsidRPr="00673002">
        <w:rPr>
          <w:color w:val="000000" w:themeColor="text1"/>
          <w:sz w:val="22"/>
          <w:szCs w:val="22"/>
          <w:lang w:val="ru-RU" w:eastAsia="ro-MD"/>
        </w:rPr>
        <w:t>Банки могут использовать в качестве приемлемого вещного обеспечения иное имущественное обеспечение, отличное от указанного в пунктах 34</w:t>
      </w:r>
      <w:r w:rsidR="0014073A" w:rsidRPr="00673002">
        <w:rPr>
          <w:color w:val="000000" w:themeColor="text1"/>
          <w:sz w:val="22"/>
          <w:szCs w:val="22"/>
          <w:vertAlign w:val="superscript"/>
          <w:lang w:val="ru-RU" w:eastAsia="ro-MD"/>
        </w:rPr>
        <w:t>3</w:t>
      </w:r>
      <w:r w:rsidR="0014073A" w:rsidRPr="00673002">
        <w:rPr>
          <w:color w:val="000000" w:themeColor="text1"/>
          <w:sz w:val="22"/>
          <w:szCs w:val="22"/>
          <w:lang w:val="ru-RU" w:eastAsia="ro-MD"/>
        </w:rPr>
        <w:t>–34</w:t>
      </w:r>
      <w:r w:rsidR="0014073A" w:rsidRPr="00673002">
        <w:rPr>
          <w:color w:val="000000" w:themeColor="text1"/>
          <w:sz w:val="22"/>
          <w:szCs w:val="22"/>
          <w:vertAlign w:val="superscript"/>
          <w:lang w:val="ru-RU" w:eastAsia="ro-MD"/>
        </w:rPr>
        <w:t>7</w:t>
      </w:r>
      <w:r w:rsidR="0014073A" w:rsidRPr="00673002">
        <w:rPr>
          <w:color w:val="000000" w:themeColor="text1"/>
          <w:sz w:val="22"/>
          <w:szCs w:val="22"/>
          <w:lang w:val="ru-RU" w:eastAsia="ro-MD"/>
        </w:rPr>
        <w:t>, при условии одновременного выполнения следующих условий</w:t>
      </w:r>
      <w:r w:rsidRPr="00673002">
        <w:rPr>
          <w:color w:val="000000" w:themeColor="text1"/>
          <w:sz w:val="22"/>
          <w:szCs w:val="22"/>
          <w:lang w:val="ru-RU" w:eastAsia="ro-MD"/>
        </w:rPr>
        <w:t>:</w:t>
      </w:r>
    </w:p>
    <w:p w14:paraId="04B1EE0A" w14:textId="0DBD8502" w:rsidR="0011444E" w:rsidRPr="00673002" w:rsidRDefault="0011444E" w:rsidP="0011444E">
      <w:pPr>
        <w:ind w:firstLine="567"/>
        <w:jc w:val="both"/>
        <w:rPr>
          <w:color w:val="000000" w:themeColor="text1"/>
          <w:sz w:val="22"/>
          <w:szCs w:val="22"/>
          <w:lang w:val="ru-RU" w:eastAsia="ro-MD"/>
        </w:rPr>
      </w:pPr>
      <w:r w:rsidRPr="00673002">
        <w:rPr>
          <w:color w:val="000000" w:themeColor="text1"/>
          <w:sz w:val="22"/>
          <w:szCs w:val="22"/>
          <w:lang w:val="ru-RU" w:eastAsia="ro-MD"/>
        </w:rPr>
        <w:t xml:space="preserve">1) </w:t>
      </w:r>
      <w:r w:rsidR="0014073A" w:rsidRPr="00673002">
        <w:rPr>
          <w:color w:val="000000" w:themeColor="text1"/>
          <w:sz w:val="22"/>
          <w:szCs w:val="22"/>
          <w:lang w:val="ru-RU" w:eastAsia="ro-MD"/>
        </w:rPr>
        <w:t>существуют ликвидные рынки, доказательством чего являются частые сделки, с учетом вида актива, для быстрой и экономически эффективной реализации обеспечения. Банки должны оценивать это условие периодически, а также в тех случаях, когда информация указывает на возникновение значительных изменений на рынке</w:t>
      </w:r>
      <w:r w:rsidRPr="00673002">
        <w:rPr>
          <w:color w:val="000000" w:themeColor="text1"/>
          <w:sz w:val="22"/>
          <w:szCs w:val="22"/>
          <w:lang w:val="ru-RU" w:eastAsia="ro-MD"/>
        </w:rPr>
        <w:t>;</w:t>
      </w:r>
    </w:p>
    <w:p w14:paraId="3905A8BC" w14:textId="169E4503" w:rsidR="0011444E" w:rsidRPr="00673002" w:rsidRDefault="0011444E" w:rsidP="0011444E">
      <w:pPr>
        <w:ind w:firstLine="567"/>
        <w:jc w:val="both"/>
        <w:rPr>
          <w:color w:val="000000" w:themeColor="text1"/>
          <w:sz w:val="22"/>
          <w:szCs w:val="22"/>
          <w:lang w:val="ru-RU" w:eastAsia="ro-MD"/>
        </w:rPr>
      </w:pPr>
      <w:r w:rsidRPr="00673002">
        <w:rPr>
          <w:color w:val="000000" w:themeColor="text1"/>
          <w:sz w:val="22"/>
          <w:szCs w:val="22"/>
          <w:lang w:val="ru-RU" w:eastAsia="ro-MD"/>
        </w:rPr>
        <w:t xml:space="preserve">2) </w:t>
      </w:r>
      <w:r w:rsidR="0019164C" w:rsidRPr="00673002">
        <w:rPr>
          <w:color w:val="000000" w:themeColor="text1"/>
          <w:sz w:val="22"/>
          <w:szCs w:val="22"/>
          <w:lang w:val="ru-RU" w:eastAsia="ro-MD"/>
        </w:rPr>
        <w:t xml:space="preserve">существуют четко установленные и общедоступные рыночные цены на </w:t>
      </w:r>
      <w:r w:rsidR="005C35B0">
        <w:rPr>
          <w:color w:val="000000" w:themeColor="text1"/>
          <w:sz w:val="22"/>
          <w:szCs w:val="22"/>
          <w:lang w:val="ru-RU" w:eastAsia="ro-MD"/>
        </w:rPr>
        <w:t>реальное</w:t>
      </w:r>
      <w:r w:rsidR="0019164C" w:rsidRPr="00673002">
        <w:rPr>
          <w:color w:val="000000" w:themeColor="text1"/>
          <w:sz w:val="22"/>
          <w:szCs w:val="22"/>
          <w:lang w:val="ru-RU" w:eastAsia="ro-MD"/>
        </w:rPr>
        <w:t xml:space="preserve"> обеспечение. Банки могут считать, что рыночные цены четко установлены, если они получены из достоверных источников информации, таких как публичные индексы, и отражают цену сделок, заключенных в нормальных условиях. Банки могут считать, что рыночные цены доступны общественности, если они публикуются, легко доступны и могут быть получены на регулярной основе без неоправданных административных или финансовых затрат</w:t>
      </w:r>
      <w:r w:rsidRPr="00673002">
        <w:rPr>
          <w:color w:val="000000" w:themeColor="text1"/>
          <w:sz w:val="22"/>
          <w:szCs w:val="22"/>
          <w:lang w:val="ru-RU" w:eastAsia="ro-MD"/>
        </w:rPr>
        <w:t>;</w:t>
      </w:r>
    </w:p>
    <w:p w14:paraId="2927097E" w14:textId="5ADD28E4" w:rsidR="0011444E" w:rsidRPr="00673002" w:rsidRDefault="0011444E" w:rsidP="0011444E">
      <w:pPr>
        <w:tabs>
          <w:tab w:val="left" w:pos="840"/>
        </w:tabs>
        <w:ind w:firstLine="567"/>
        <w:jc w:val="both"/>
        <w:rPr>
          <w:color w:val="000000" w:themeColor="text1"/>
          <w:sz w:val="22"/>
          <w:szCs w:val="22"/>
          <w:lang w:val="ru-RU" w:eastAsia="ro-MD"/>
        </w:rPr>
      </w:pPr>
      <w:r w:rsidRPr="00673002">
        <w:rPr>
          <w:color w:val="000000" w:themeColor="text1"/>
          <w:sz w:val="22"/>
          <w:szCs w:val="22"/>
          <w:lang w:val="ru-RU" w:eastAsia="ro-MD"/>
        </w:rPr>
        <w:t xml:space="preserve">3) </w:t>
      </w:r>
      <w:r w:rsidR="00673002" w:rsidRPr="00673002">
        <w:rPr>
          <w:color w:val="000000" w:themeColor="text1"/>
          <w:sz w:val="22"/>
          <w:szCs w:val="22"/>
          <w:lang w:val="ru-RU" w:eastAsia="ro-MD"/>
        </w:rPr>
        <w:t>банк анализирует рыночные цены, сроки и затраты, необходимые для реализации вещного обеспечения, а также суммы, полученные в результате реализации вещного обеспечения</w:t>
      </w:r>
      <w:r w:rsidRPr="00673002">
        <w:rPr>
          <w:color w:val="000000" w:themeColor="text1"/>
          <w:sz w:val="22"/>
          <w:szCs w:val="22"/>
          <w:lang w:val="ru-RU" w:eastAsia="ro-MD"/>
        </w:rPr>
        <w:t>;</w:t>
      </w:r>
    </w:p>
    <w:p w14:paraId="59A3EE67" w14:textId="20B94EA9" w:rsidR="0011444E" w:rsidRPr="00EE4506" w:rsidRDefault="0011444E" w:rsidP="0011444E">
      <w:pPr>
        <w:ind w:firstLine="567"/>
        <w:jc w:val="both"/>
        <w:rPr>
          <w:color w:val="000000" w:themeColor="text1"/>
          <w:sz w:val="22"/>
          <w:szCs w:val="22"/>
          <w:lang w:val="ru-MD" w:eastAsia="ro-MD"/>
        </w:rPr>
      </w:pPr>
      <w:r w:rsidRPr="00673002">
        <w:rPr>
          <w:color w:val="000000" w:themeColor="text1"/>
          <w:sz w:val="22"/>
          <w:szCs w:val="22"/>
          <w:lang w:val="ru-RU" w:eastAsia="ro-MD"/>
        </w:rPr>
        <w:t xml:space="preserve">4) </w:t>
      </w:r>
      <w:r w:rsidR="00673002" w:rsidRPr="00673002">
        <w:rPr>
          <w:color w:val="000000" w:themeColor="text1"/>
          <w:sz w:val="22"/>
          <w:szCs w:val="22"/>
          <w:lang w:val="ru-RU" w:eastAsia="ro-MD"/>
        </w:rPr>
        <w:t xml:space="preserve">банк подтверждает, что по крайней мере в 90 % всех случаев реализации определенного вида вещного обеспечения суммы, полученные в результате реализации вещного обеспечения, составляют не менее 70 % от стоимости вещного обеспечения; в случае значительной волатильности рыночных цен банк доказывает Национальному банку Молдовы способом, который тот считает удовлетворительным, </w:t>
      </w:r>
      <w:r w:rsidR="00673002" w:rsidRPr="00EE4506">
        <w:rPr>
          <w:color w:val="000000" w:themeColor="text1"/>
          <w:sz w:val="22"/>
          <w:szCs w:val="22"/>
          <w:lang w:val="ru-MD" w:eastAsia="ro-MD"/>
        </w:rPr>
        <w:t>что его собственная оценка вещного обеспечения является достаточно осторожной</w:t>
      </w:r>
      <w:r w:rsidRPr="00EE4506">
        <w:rPr>
          <w:color w:val="000000" w:themeColor="text1"/>
          <w:sz w:val="22"/>
          <w:szCs w:val="22"/>
          <w:lang w:val="ru-MD" w:eastAsia="ro-MD"/>
        </w:rPr>
        <w:t>.</w:t>
      </w:r>
    </w:p>
    <w:p w14:paraId="00FDD823" w14:textId="3D44F4DB" w:rsidR="0011444E" w:rsidRPr="00EE4506" w:rsidRDefault="0011444E" w:rsidP="00930587">
      <w:pPr>
        <w:jc w:val="both"/>
        <w:rPr>
          <w:color w:val="000000" w:themeColor="text1"/>
          <w:sz w:val="22"/>
          <w:szCs w:val="22"/>
          <w:lang w:val="ru-MD" w:eastAsia="ro-MD"/>
        </w:rPr>
      </w:pPr>
      <w:r w:rsidRPr="00EE4506">
        <w:rPr>
          <w:b/>
          <w:bCs/>
          <w:color w:val="000000" w:themeColor="text1"/>
          <w:sz w:val="22"/>
          <w:szCs w:val="22"/>
          <w:lang w:val="ru-MD" w:eastAsia="ro-MD"/>
        </w:rPr>
        <w:t>34</w:t>
      </w:r>
      <w:r w:rsidRPr="00EE4506">
        <w:rPr>
          <w:b/>
          <w:bCs/>
          <w:color w:val="000000" w:themeColor="text1"/>
          <w:sz w:val="22"/>
          <w:szCs w:val="22"/>
          <w:vertAlign w:val="superscript"/>
          <w:lang w:val="ru-MD" w:eastAsia="ro-MD"/>
        </w:rPr>
        <w:t>13</w:t>
      </w:r>
      <w:r w:rsidRPr="00EE4506">
        <w:rPr>
          <w:b/>
          <w:bCs/>
          <w:color w:val="000000" w:themeColor="text1"/>
          <w:sz w:val="22"/>
          <w:szCs w:val="22"/>
          <w:lang w:val="ru-MD" w:eastAsia="ro-MD"/>
        </w:rPr>
        <w:t>.</w:t>
      </w:r>
      <w:r w:rsidRPr="00EE4506">
        <w:rPr>
          <w:color w:val="000000" w:themeColor="text1"/>
          <w:sz w:val="22"/>
          <w:szCs w:val="22"/>
          <w:lang w:val="ru-MD" w:eastAsia="ro-MD"/>
        </w:rPr>
        <w:t xml:space="preserve"> </w:t>
      </w:r>
      <w:r w:rsidR="00EE4506" w:rsidRPr="00EE4506">
        <w:rPr>
          <w:color w:val="000000" w:themeColor="text1"/>
          <w:sz w:val="22"/>
          <w:szCs w:val="22"/>
          <w:lang w:val="ru-MD" w:eastAsia="ro-MD"/>
        </w:rPr>
        <w:t>Банки должны официально подтвердить выполнение условий, указанных в пункте 34</w:t>
      </w:r>
      <w:r w:rsidR="00EE4506" w:rsidRPr="00EE4506">
        <w:rPr>
          <w:color w:val="000000" w:themeColor="text1"/>
          <w:sz w:val="22"/>
          <w:szCs w:val="22"/>
          <w:vertAlign w:val="superscript"/>
          <w:lang w:val="ru-MD" w:eastAsia="ro-MD"/>
        </w:rPr>
        <w:t>12</w:t>
      </w:r>
      <w:r w:rsidR="00EE4506" w:rsidRPr="00EE4506">
        <w:rPr>
          <w:color w:val="000000" w:themeColor="text1"/>
          <w:sz w:val="22"/>
          <w:szCs w:val="22"/>
          <w:lang w:val="ru-MD" w:eastAsia="ro-MD"/>
        </w:rPr>
        <w:t xml:space="preserve"> и пунктах </w:t>
      </w:r>
      <w:proofErr w:type="gramStart"/>
      <w:r w:rsidR="00EE4506" w:rsidRPr="00EE4506">
        <w:rPr>
          <w:color w:val="000000" w:themeColor="text1"/>
          <w:sz w:val="22"/>
          <w:szCs w:val="22"/>
          <w:lang w:val="ru-MD" w:eastAsia="ro-MD"/>
        </w:rPr>
        <w:t>50</w:t>
      </w:r>
      <w:r w:rsidR="00045D87">
        <w:rPr>
          <w:color w:val="000000" w:themeColor="text1"/>
          <w:sz w:val="22"/>
          <w:szCs w:val="22"/>
          <w:vertAlign w:val="superscript"/>
          <w:lang w:val="ru-MD" w:eastAsia="ro-MD"/>
        </w:rPr>
        <w:t>5</w:t>
      </w:r>
      <w:r w:rsidRPr="00EE4506">
        <w:rPr>
          <w:color w:val="000000" w:themeColor="text1"/>
          <w:sz w:val="22"/>
          <w:szCs w:val="22"/>
          <w:lang w:val="ru-MD" w:eastAsia="ro-MD"/>
        </w:rPr>
        <w:t>-5</w:t>
      </w:r>
      <w:r w:rsidR="00A669CB" w:rsidRPr="00EE4506">
        <w:rPr>
          <w:color w:val="000000" w:themeColor="text1"/>
          <w:sz w:val="22"/>
          <w:szCs w:val="22"/>
          <w:lang w:val="ru-MD" w:eastAsia="ro-MD"/>
        </w:rPr>
        <w:t>0</w:t>
      </w:r>
      <w:r w:rsidRPr="00EE4506">
        <w:rPr>
          <w:color w:val="000000" w:themeColor="text1"/>
          <w:sz w:val="22"/>
          <w:szCs w:val="22"/>
          <w:vertAlign w:val="superscript"/>
          <w:lang w:val="ru-MD" w:eastAsia="ro-MD"/>
        </w:rPr>
        <w:t>6</w:t>
      </w:r>
      <w:proofErr w:type="gramEnd"/>
      <w:r w:rsidRPr="00EE4506">
        <w:rPr>
          <w:color w:val="000000" w:themeColor="text1"/>
          <w:sz w:val="22"/>
          <w:szCs w:val="22"/>
          <w:lang w:val="ru-MD" w:eastAsia="ro-MD"/>
        </w:rPr>
        <w:t>.</w:t>
      </w:r>
    </w:p>
    <w:p w14:paraId="5647BD69" w14:textId="0CE63925" w:rsidR="001221A2" w:rsidRPr="00EE4506" w:rsidRDefault="0011444E" w:rsidP="0011444E">
      <w:pPr>
        <w:tabs>
          <w:tab w:val="left" w:pos="567"/>
        </w:tabs>
        <w:spacing w:before="80"/>
        <w:jc w:val="both"/>
        <w:rPr>
          <w:color w:val="000000" w:themeColor="text1"/>
          <w:sz w:val="22"/>
          <w:szCs w:val="22"/>
          <w:lang w:val="ru-MD"/>
        </w:rPr>
      </w:pPr>
      <w:r w:rsidRPr="00EE4506">
        <w:rPr>
          <w:b/>
          <w:bCs/>
          <w:color w:val="000000" w:themeColor="text1"/>
          <w:sz w:val="22"/>
          <w:szCs w:val="22"/>
          <w:lang w:val="ru-MD" w:eastAsia="ro-MD"/>
        </w:rPr>
        <w:t>34</w:t>
      </w:r>
      <w:r w:rsidRPr="00EE4506">
        <w:rPr>
          <w:b/>
          <w:bCs/>
          <w:color w:val="000000" w:themeColor="text1"/>
          <w:sz w:val="22"/>
          <w:szCs w:val="22"/>
          <w:vertAlign w:val="superscript"/>
          <w:lang w:val="ru-MD" w:eastAsia="ro-MD"/>
        </w:rPr>
        <w:t>14</w:t>
      </w:r>
      <w:r w:rsidRPr="00EE4506">
        <w:rPr>
          <w:b/>
          <w:bCs/>
          <w:color w:val="000000" w:themeColor="text1"/>
          <w:sz w:val="22"/>
          <w:szCs w:val="22"/>
          <w:lang w:val="ru-MD" w:eastAsia="ro-MD"/>
        </w:rPr>
        <w:t>.</w:t>
      </w:r>
      <w:r w:rsidRPr="00EE4506">
        <w:rPr>
          <w:color w:val="000000" w:themeColor="text1"/>
          <w:sz w:val="22"/>
          <w:szCs w:val="22"/>
          <w:lang w:val="ru-MD" w:eastAsia="ro-MD"/>
        </w:rPr>
        <w:t xml:space="preserve"> </w:t>
      </w:r>
      <w:r w:rsidR="00EE4506" w:rsidRPr="00EE4506">
        <w:rPr>
          <w:color w:val="000000" w:themeColor="text1"/>
          <w:sz w:val="22"/>
          <w:szCs w:val="22"/>
          <w:lang w:val="ru-MD" w:eastAsia="ro-MD"/>
        </w:rPr>
        <w:t>С учетом положений пункта 107</w:t>
      </w:r>
      <w:r w:rsidR="00EE4506" w:rsidRPr="00EE4506">
        <w:rPr>
          <w:color w:val="000000" w:themeColor="text1"/>
          <w:sz w:val="22"/>
          <w:szCs w:val="22"/>
          <w:vertAlign w:val="superscript"/>
          <w:lang w:val="ru-MD" w:eastAsia="ro-MD"/>
        </w:rPr>
        <w:t>7</w:t>
      </w:r>
      <w:r w:rsidR="00EE4506" w:rsidRPr="00EE4506">
        <w:rPr>
          <w:color w:val="000000" w:themeColor="text1"/>
          <w:sz w:val="22"/>
          <w:szCs w:val="22"/>
          <w:lang w:val="ru-MD" w:eastAsia="ro-MD"/>
        </w:rPr>
        <w:t>, в случае выполнения требований, предусмотренных пунктом 50</w:t>
      </w:r>
      <w:r w:rsidR="00EE4506" w:rsidRPr="00EE4506">
        <w:rPr>
          <w:color w:val="000000" w:themeColor="text1"/>
          <w:sz w:val="22"/>
          <w:szCs w:val="22"/>
          <w:vertAlign w:val="superscript"/>
          <w:lang w:val="ru-MD" w:eastAsia="ro-MD"/>
        </w:rPr>
        <w:t>7</w:t>
      </w:r>
      <w:r w:rsidR="00EE4506" w:rsidRPr="00EE4506">
        <w:rPr>
          <w:color w:val="000000" w:themeColor="text1"/>
          <w:sz w:val="22"/>
          <w:szCs w:val="22"/>
          <w:lang w:val="ru-MD" w:eastAsia="ro-MD"/>
        </w:rPr>
        <w:t>, подверженности, возникающие в результате операций лизинга, в рамках которых банк сдает в аренду имущество третьей стороне, могут рассматриваться аналогично кредитам, обеспеченным данным видом имущества, переданного в аренду</w:t>
      </w:r>
      <w:r w:rsidRPr="00EE4506">
        <w:rPr>
          <w:color w:val="000000" w:themeColor="text1"/>
          <w:sz w:val="22"/>
          <w:szCs w:val="22"/>
          <w:lang w:val="ru-MD" w:eastAsia="ro-MD"/>
        </w:rPr>
        <w:t>.</w:t>
      </w:r>
      <w:r w:rsidR="00EE4506" w:rsidRPr="00EE4506">
        <w:rPr>
          <w:color w:val="000000" w:themeColor="text1"/>
          <w:sz w:val="22"/>
          <w:szCs w:val="22"/>
          <w:lang w:val="ru-MD" w:eastAsia="ro-MD"/>
        </w:rPr>
        <w:t>»</w:t>
      </w:r>
      <w:r w:rsidRPr="00EE4506">
        <w:rPr>
          <w:color w:val="000000" w:themeColor="text1"/>
          <w:sz w:val="22"/>
          <w:szCs w:val="22"/>
          <w:lang w:val="ru-MD" w:eastAsia="ro-MD"/>
        </w:rPr>
        <w:t>.</w:t>
      </w:r>
    </w:p>
    <w:p w14:paraId="66D13EFA" w14:textId="075D4350" w:rsidR="002337D1" w:rsidRPr="00884D1F" w:rsidRDefault="00CE6E76"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 пункте</w:t>
      </w:r>
      <w:r w:rsidR="002337D1" w:rsidRPr="00884D1F">
        <w:rPr>
          <w:color w:val="000000" w:themeColor="text1"/>
          <w:sz w:val="22"/>
          <w:szCs w:val="22"/>
          <w:lang w:val="ro-MD"/>
        </w:rPr>
        <w:t xml:space="preserve"> </w:t>
      </w:r>
      <w:r w:rsidR="00E8743D" w:rsidRPr="00884D1F">
        <w:rPr>
          <w:color w:val="000000" w:themeColor="text1"/>
          <w:sz w:val="22"/>
          <w:szCs w:val="22"/>
          <w:lang w:val="ro-MD"/>
        </w:rPr>
        <w:t>3</w:t>
      </w:r>
      <w:r w:rsidR="002337D1" w:rsidRPr="00884D1F">
        <w:rPr>
          <w:color w:val="000000" w:themeColor="text1"/>
          <w:sz w:val="22"/>
          <w:szCs w:val="22"/>
          <w:lang w:val="ro-MD"/>
        </w:rPr>
        <w:t>5:</w:t>
      </w:r>
    </w:p>
    <w:p w14:paraId="79441E35" w14:textId="410ADF24" w:rsidR="00F9105A" w:rsidRPr="00894693" w:rsidRDefault="00CD5F04" w:rsidP="00E8743D">
      <w:pPr>
        <w:pStyle w:val="ListParagraph"/>
        <w:numPr>
          <w:ilvl w:val="2"/>
          <w:numId w:val="27"/>
        </w:numPr>
        <w:tabs>
          <w:tab w:val="left" w:pos="567"/>
        </w:tabs>
        <w:ind w:left="0" w:firstLine="567"/>
        <w:jc w:val="both"/>
        <w:rPr>
          <w:color w:val="000000" w:themeColor="text1"/>
          <w:sz w:val="22"/>
          <w:szCs w:val="22"/>
          <w:lang w:val="ro-MD"/>
        </w:rPr>
      </w:pPr>
      <w:r w:rsidRPr="00894693">
        <w:rPr>
          <w:color w:val="000000" w:themeColor="text1"/>
          <w:sz w:val="22"/>
          <w:szCs w:val="22"/>
          <w:lang w:val="ru-RU"/>
        </w:rPr>
        <w:t xml:space="preserve">в подпункте </w:t>
      </w:r>
      <w:r w:rsidR="0055372C" w:rsidRPr="00894693">
        <w:rPr>
          <w:color w:val="000000" w:themeColor="text1"/>
          <w:sz w:val="22"/>
          <w:szCs w:val="22"/>
          <w:lang w:val="ro-MD"/>
        </w:rPr>
        <w:t xml:space="preserve"> 1)</w:t>
      </w:r>
      <w:r w:rsidR="0042197B" w:rsidRPr="00894693">
        <w:rPr>
          <w:color w:val="000000" w:themeColor="text1"/>
          <w:sz w:val="22"/>
          <w:szCs w:val="22"/>
          <w:lang w:val="ro-MD"/>
        </w:rPr>
        <w:t xml:space="preserve"> </w:t>
      </w:r>
      <w:r w:rsidRPr="00894693">
        <w:rPr>
          <w:color w:val="000000" w:themeColor="text1"/>
          <w:sz w:val="22"/>
          <w:szCs w:val="22"/>
          <w:lang w:val="ru-RU"/>
        </w:rPr>
        <w:t>текст «</w:t>
      </w:r>
      <w:r w:rsidR="00F719CA" w:rsidRPr="00894693">
        <w:rPr>
          <w:sz w:val="22"/>
          <w:szCs w:val="22"/>
          <w:lang w:val="ru-RU" w:eastAsia="ro-MD"/>
        </w:rPr>
        <w:t>который располагает индивидуально, или группа, в которой состоит соответствующий банк, располагает оценкой кредита, осуществленной ОВОК, которую Национальный банк Молдовы ассоциировал с 3 уровнем качества кредита, или более высоким уровнем, в соответствии с нормами степени риска подверженностей перед банками или краткосрочных подверженностей, предусмотренных в Регламенте № 111/2018,» исключить</w:t>
      </w:r>
      <w:r w:rsidR="002337D1" w:rsidRPr="00894693">
        <w:rPr>
          <w:color w:val="000000" w:themeColor="text1"/>
          <w:sz w:val="22"/>
          <w:szCs w:val="22"/>
          <w:lang w:val="ro-MD"/>
        </w:rPr>
        <w:t>;</w:t>
      </w:r>
    </w:p>
    <w:p w14:paraId="0C13A200" w14:textId="5C1F55B0" w:rsidR="0042197B" w:rsidRPr="00894693" w:rsidRDefault="00F719CA" w:rsidP="00E8743D">
      <w:pPr>
        <w:pStyle w:val="ListParagraph"/>
        <w:numPr>
          <w:ilvl w:val="2"/>
          <w:numId w:val="27"/>
        </w:numPr>
        <w:tabs>
          <w:tab w:val="left" w:pos="567"/>
        </w:tabs>
        <w:ind w:left="0" w:firstLine="567"/>
        <w:jc w:val="both"/>
        <w:rPr>
          <w:color w:val="000000" w:themeColor="text1"/>
          <w:sz w:val="22"/>
          <w:szCs w:val="22"/>
          <w:lang w:val="ro-MD"/>
        </w:rPr>
      </w:pPr>
      <w:r w:rsidRPr="00894693">
        <w:rPr>
          <w:color w:val="000000" w:themeColor="text1"/>
          <w:sz w:val="22"/>
          <w:szCs w:val="22"/>
          <w:lang w:val="ru-RU"/>
        </w:rPr>
        <w:t xml:space="preserve">в подпункте </w:t>
      </w:r>
      <w:r w:rsidRPr="00894693">
        <w:rPr>
          <w:color w:val="000000" w:themeColor="text1"/>
          <w:sz w:val="22"/>
          <w:szCs w:val="22"/>
          <w:lang w:val="ro-MD"/>
        </w:rPr>
        <w:t xml:space="preserve">2) </w:t>
      </w:r>
      <w:r w:rsidRPr="00894693">
        <w:rPr>
          <w:color w:val="000000" w:themeColor="text1"/>
          <w:sz w:val="22"/>
          <w:szCs w:val="22"/>
          <w:lang w:val="ru-RU"/>
        </w:rPr>
        <w:t xml:space="preserve">текст </w:t>
      </w:r>
      <w:r w:rsidR="00894693" w:rsidRPr="00894693">
        <w:rPr>
          <w:color w:val="000000" w:themeColor="text1"/>
          <w:sz w:val="22"/>
          <w:szCs w:val="22"/>
          <w:lang w:val="ru-RU"/>
        </w:rPr>
        <w:t>«</w:t>
      </w:r>
      <w:r w:rsidR="00894693" w:rsidRPr="00894693">
        <w:rPr>
          <w:sz w:val="22"/>
          <w:szCs w:val="22"/>
          <w:lang w:val="ru-RU" w:eastAsia="ro-MD"/>
        </w:rPr>
        <w:t>которые располагают оценкой кредита, осуществленной ОВОК, которую Национальный банк Молдовы ассоциировал с 3 уровнем качества кредита, или более высоким уровнем, в соответствии с нормами степени риска подверженностей перед банками или краткосрочных подверженностей, предусмотренных в Регламенте № 111/2018,» исключить</w:t>
      </w:r>
      <w:r w:rsidR="0042197B" w:rsidRPr="00894693">
        <w:rPr>
          <w:color w:val="000000" w:themeColor="text1"/>
          <w:sz w:val="22"/>
          <w:szCs w:val="22"/>
          <w:lang w:val="ro-MD"/>
        </w:rPr>
        <w:t>;</w:t>
      </w:r>
    </w:p>
    <w:p w14:paraId="59F7726A" w14:textId="55D42337" w:rsidR="0042197B" w:rsidRPr="00884D1F" w:rsidRDefault="009A56FB" w:rsidP="00E8743D">
      <w:pPr>
        <w:pStyle w:val="ListParagraph"/>
        <w:numPr>
          <w:ilvl w:val="2"/>
          <w:numId w:val="27"/>
        </w:numPr>
        <w:tabs>
          <w:tab w:val="left" w:pos="567"/>
        </w:tabs>
        <w:ind w:left="0" w:firstLine="567"/>
        <w:jc w:val="both"/>
        <w:rPr>
          <w:color w:val="000000" w:themeColor="text1"/>
          <w:sz w:val="22"/>
          <w:szCs w:val="22"/>
          <w:lang w:val="ro-MD"/>
        </w:rPr>
      </w:pPr>
      <w:r>
        <w:rPr>
          <w:color w:val="000000" w:themeColor="text1"/>
          <w:sz w:val="22"/>
          <w:szCs w:val="22"/>
          <w:lang w:val="ru-RU"/>
        </w:rPr>
        <w:t>дополнить подпунктом</w:t>
      </w:r>
      <w:r w:rsidR="0042197B" w:rsidRPr="00884D1F">
        <w:rPr>
          <w:color w:val="000000" w:themeColor="text1"/>
          <w:sz w:val="22"/>
          <w:szCs w:val="22"/>
          <w:lang w:val="ro-MD"/>
        </w:rPr>
        <w:t xml:space="preserve"> 3) </w:t>
      </w:r>
      <w:r>
        <w:rPr>
          <w:color w:val="000000" w:themeColor="text1"/>
          <w:sz w:val="22"/>
          <w:szCs w:val="22"/>
          <w:lang w:val="ru-RU"/>
        </w:rPr>
        <w:t>следующего содержания</w:t>
      </w:r>
      <w:r w:rsidR="0042197B" w:rsidRPr="00884D1F">
        <w:rPr>
          <w:color w:val="000000" w:themeColor="text1"/>
          <w:sz w:val="22"/>
          <w:szCs w:val="22"/>
          <w:lang w:val="ro-MD"/>
        </w:rPr>
        <w:t>:</w:t>
      </w:r>
    </w:p>
    <w:p w14:paraId="1013426D" w14:textId="004E5335" w:rsidR="002337D1" w:rsidRPr="00F715B3" w:rsidRDefault="00F715B3" w:rsidP="0042197B">
      <w:pPr>
        <w:tabs>
          <w:tab w:val="left" w:pos="567"/>
        </w:tabs>
        <w:jc w:val="both"/>
        <w:rPr>
          <w:color w:val="000000" w:themeColor="text1"/>
          <w:sz w:val="22"/>
          <w:szCs w:val="22"/>
          <w:lang w:val="ru-RU"/>
        </w:rPr>
      </w:pPr>
      <w:r w:rsidRPr="00F715B3">
        <w:rPr>
          <w:color w:val="000000" w:themeColor="text1"/>
          <w:sz w:val="22"/>
          <w:szCs w:val="22"/>
          <w:lang w:val="ru-RU"/>
        </w:rPr>
        <w:t>«</w:t>
      </w:r>
      <w:r w:rsidR="0042197B" w:rsidRPr="00F715B3">
        <w:rPr>
          <w:color w:val="000000" w:themeColor="text1"/>
          <w:sz w:val="22"/>
          <w:szCs w:val="22"/>
          <w:lang w:val="ru-RU"/>
        </w:rPr>
        <w:t xml:space="preserve">3) </w:t>
      </w:r>
      <w:r w:rsidRPr="00F715B3">
        <w:rPr>
          <w:color w:val="000000" w:themeColor="text1"/>
          <w:sz w:val="22"/>
          <w:szCs w:val="22"/>
          <w:lang w:val="ru-RU"/>
        </w:rPr>
        <w:t>полисы страхования жизни, заложенные в пользу банка-кредитора</w:t>
      </w:r>
      <w:r w:rsidR="002337D1" w:rsidRPr="00F715B3">
        <w:rPr>
          <w:color w:val="000000" w:themeColor="text1"/>
          <w:sz w:val="22"/>
          <w:szCs w:val="22"/>
          <w:lang w:val="ru-RU"/>
        </w:rPr>
        <w:t>.</w:t>
      </w:r>
      <w:r w:rsidRPr="00F715B3">
        <w:rPr>
          <w:color w:val="000000" w:themeColor="text1"/>
          <w:sz w:val="22"/>
          <w:szCs w:val="22"/>
          <w:lang w:val="ru-RU"/>
        </w:rPr>
        <w:t>»</w:t>
      </w:r>
      <w:r w:rsidR="0042197B" w:rsidRPr="00F715B3">
        <w:rPr>
          <w:color w:val="000000" w:themeColor="text1"/>
          <w:sz w:val="22"/>
          <w:szCs w:val="22"/>
          <w:lang w:val="ru-RU"/>
        </w:rPr>
        <w:t>.</w:t>
      </w:r>
    </w:p>
    <w:p w14:paraId="16458495" w14:textId="1FB406DE" w:rsidR="00113164" w:rsidRPr="00884D1F" w:rsidRDefault="004E4909"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lastRenderedPageBreak/>
        <w:t>Пункт</w:t>
      </w:r>
      <w:r w:rsidR="00113164" w:rsidRPr="00884D1F">
        <w:rPr>
          <w:color w:val="000000" w:themeColor="text1"/>
          <w:sz w:val="22"/>
          <w:szCs w:val="22"/>
          <w:lang w:val="ro-MD"/>
        </w:rPr>
        <w:t xml:space="preserve"> </w:t>
      </w:r>
      <w:r w:rsidR="0084652F" w:rsidRPr="00884D1F">
        <w:rPr>
          <w:color w:val="000000" w:themeColor="text1"/>
          <w:sz w:val="22"/>
          <w:szCs w:val="22"/>
          <w:lang w:val="ro-MD"/>
        </w:rPr>
        <w:t>36</w:t>
      </w:r>
      <w:r w:rsidR="00113164" w:rsidRPr="00884D1F">
        <w:rPr>
          <w:color w:val="000000" w:themeColor="text1"/>
          <w:sz w:val="22"/>
          <w:szCs w:val="22"/>
          <w:lang w:val="ro-MD"/>
        </w:rPr>
        <w:t xml:space="preserve"> </w:t>
      </w:r>
      <w:r>
        <w:rPr>
          <w:color w:val="000000" w:themeColor="text1"/>
          <w:sz w:val="22"/>
          <w:szCs w:val="22"/>
          <w:lang w:val="ru-RU"/>
        </w:rPr>
        <w:t>изложить в следующей редакции</w:t>
      </w:r>
      <w:r w:rsidR="00113164" w:rsidRPr="00884D1F">
        <w:rPr>
          <w:color w:val="000000" w:themeColor="text1"/>
          <w:sz w:val="22"/>
          <w:szCs w:val="22"/>
          <w:lang w:val="ro-MD"/>
        </w:rPr>
        <w:t>:</w:t>
      </w:r>
    </w:p>
    <w:p w14:paraId="71AEBE39" w14:textId="3E68BE32" w:rsidR="0084652F" w:rsidRPr="00FA5E22" w:rsidRDefault="004E4909" w:rsidP="0084652F">
      <w:pPr>
        <w:jc w:val="both"/>
        <w:rPr>
          <w:color w:val="000000" w:themeColor="text1"/>
          <w:sz w:val="22"/>
          <w:szCs w:val="22"/>
          <w:lang w:val="ru-MD" w:eastAsia="ro-MD"/>
        </w:rPr>
      </w:pPr>
      <w:r w:rsidRPr="00FA5E22">
        <w:rPr>
          <w:b/>
          <w:bCs/>
          <w:color w:val="000000" w:themeColor="text1"/>
          <w:sz w:val="22"/>
          <w:szCs w:val="22"/>
          <w:lang w:val="ru-MD" w:eastAsia="ro-MD"/>
        </w:rPr>
        <w:t>«</w:t>
      </w:r>
      <w:r w:rsidR="0084652F" w:rsidRPr="00FA5E22">
        <w:rPr>
          <w:b/>
          <w:bCs/>
          <w:color w:val="000000" w:themeColor="text1"/>
          <w:sz w:val="22"/>
          <w:szCs w:val="22"/>
          <w:lang w:val="ru-MD" w:eastAsia="ro-MD"/>
        </w:rPr>
        <w:t>36.</w:t>
      </w:r>
      <w:r w:rsidR="0084652F" w:rsidRPr="00FA5E22">
        <w:rPr>
          <w:color w:val="000000" w:themeColor="text1"/>
          <w:sz w:val="22"/>
          <w:szCs w:val="22"/>
          <w:lang w:val="ru-MD" w:eastAsia="ro-MD"/>
        </w:rPr>
        <w:t xml:space="preserve"> </w:t>
      </w:r>
      <w:r w:rsidR="000D488B" w:rsidRPr="00FA5E22">
        <w:rPr>
          <w:color w:val="000000" w:themeColor="text1"/>
          <w:sz w:val="22"/>
          <w:szCs w:val="22"/>
          <w:lang w:val="ru-MD" w:eastAsia="ro-MD"/>
        </w:rPr>
        <w:t>Банки могут прибегать к услугам следующих сторон в качестве допустимых поставщиков нефинансовой кредитной защиты</w:t>
      </w:r>
      <w:r w:rsidR="0084652F" w:rsidRPr="00FA5E22">
        <w:rPr>
          <w:color w:val="000000" w:themeColor="text1"/>
          <w:sz w:val="22"/>
          <w:szCs w:val="22"/>
          <w:lang w:val="ru-MD" w:eastAsia="ro-MD"/>
        </w:rPr>
        <w:t>:</w:t>
      </w:r>
    </w:p>
    <w:p w14:paraId="57C47A21" w14:textId="7DC6E068" w:rsidR="0084652F" w:rsidRPr="00FA5E22" w:rsidRDefault="0084652F" w:rsidP="0084652F">
      <w:pPr>
        <w:ind w:firstLine="567"/>
        <w:jc w:val="both"/>
        <w:rPr>
          <w:color w:val="000000" w:themeColor="text1"/>
          <w:sz w:val="22"/>
          <w:szCs w:val="22"/>
          <w:lang w:val="ru-MD" w:eastAsia="ro-MD"/>
        </w:rPr>
      </w:pPr>
      <w:r w:rsidRPr="00FA5E22">
        <w:rPr>
          <w:color w:val="000000" w:themeColor="text1"/>
          <w:sz w:val="22"/>
          <w:szCs w:val="22"/>
          <w:lang w:val="ru-MD" w:eastAsia="ro-MD"/>
        </w:rPr>
        <w:t xml:space="preserve">1) </w:t>
      </w:r>
      <w:r w:rsidR="000D488B" w:rsidRPr="00FA5E22">
        <w:rPr>
          <w:sz w:val="22"/>
          <w:szCs w:val="22"/>
          <w:lang w:val="ru-MD" w:eastAsia="ro-MD"/>
        </w:rPr>
        <w:t>центральные администрации и центральные банки, региональные администрации или местные органы, банки многостороннего развития, международные организации, если подверженностям перед ними присваивается весовой коэффициент риска 0% на основании Регламента № 111/2018</w:t>
      </w:r>
      <w:r w:rsidRPr="00FA5E22">
        <w:rPr>
          <w:color w:val="000000" w:themeColor="text1"/>
          <w:sz w:val="22"/>
          <w:szCs w:val="22"/>
          <w:lang w:val="ru-MD" w:eastAsia="ro-MD"/>
        </w:rPr>
        <w:t>;</w:t>
      </w:r>
    </w:p>
    <w:p w14:paraId="05061315" w14:textId="77777777" w:rsidR="00D348BD" w:rsidRPr="00FA5E22" w:rsidRDefault="0084652F" w:rsidP="00D348BD">
      <w:pPr>
        <w:ind w:firstLine="567"/>
        <w:jc w:val="both"/>
        <w:rPr>
          <w:sz w:val="22"/>
          <w:szCs w:val="22"/>
          <w:lang w:val="ru-MD" w:eastAsia="ro-MD"/>
        </w:rPr>
      </w:pPr>
      <w:r w:rsidRPr="00FA5E22">
        <w:rPr>
          <w:color w:val="000000" w:themeColor="text1"/>
          <w:sz w:val="22"/>
          <w:szCs w:val="22"/>
          <w:lang w:val="ru-MD" w:eastAsia="ro-MD"/>
        </w:rPr>
        <w:t xml:space="preserve">2) </w:t>
      </w:r>
      <w:r w:rsidR="00D348BD" w:rsidRPr="00FA5E22">
        <w:rPr>
          <w:sz w:val="22"/>
          <w:szCs w:val="22"/>
          <w:lang w:val="ru-MD" w:eastAsia="ro-MD"/>
        </w:rPr>
        <w:t>субъекты публичного сектора, рассматриваемые в соответствии с Регламентом № 111/2018;</w:t>
      </w:r>
    </w:p>
    <w:p w14:paraId="7AB6DA8C" w14:textId="6B39246A" w:rsidR="00191B20" w:rsidRPr="007544BA" w:rsidRDefault="0084652F" w:rsidP="0084652F">
      <w:pPr>
        <w:ind w:firstLine="567"/>
        <w:jc w:val="both"/>
        <w:rPr>
          <w:color w:val="000000" w:themeColor="text1"/>
          <w:sz w:val="22"/>
          <w:szCs w:val="22"/>
          <w:lang w:val="ru-RU" w:eastAsia="ro-MD"/>
        </w:rPr>
      </w:pPr>
      <w:r w:rsidRPr="00FA5E22">
        <w:rPr>
          <w:color w:val="000000" w:themeColor="text1"/>
          <w:sz w:val="22"/>
          <w:szCs w:val="22"/>
          <w:lang w:val="ru-MD" w:eastAsia="ro-MD"/>
        </w:rPr>
        <w:t xml:space="preserve">3) </w:t>
      </w:r>
      <w:r w:rsidR="00B5769E" w:rsidRPr="00FA5E22">
        <w:rPr>
          <w:color w:val="000000" w:themeColor="text1"/>
          <w:sz w:val="22"/>
          <w:szCs w:val="22"/>
          <w:lang w:val="ru-MD" w:eastAsia="ro-MD"/>
        </w:rPr>
        <w:t xml:space="preserve">банки и небанковские финансовые компании, </w:t>
      </w:r>
      <w:r w:rsidR="00191B20" w:rsidRPr="00191B20">
        <w:rPr>
          <w:color w:val="000000" w:themeColor="text1"/>
          <w:sz w:val="22"/>
          <w:szCs w:val="22"/>
          <w:lang w:val="ru-MD" w:eastAsia="ro-MD"/>
        </w:rPr>
        <w:t xml:space="preserve">в отношении которых </w:t>
      </w:r>
      <w:r w:rsidR="007B50FB" w:rsidRPr="007B50FB">
        <w:rPr>
          <w:color w:val="000000" w:themeColor="text1"/>
          <w:sz w:val="22"/>
          <w:szCs w:val="22"/>
          <w:lang w:val="ru-RU" w:eastAsia="ro-MD"/>
        </w:rPr>
        <w:t>подверженностей</w:t>
      </w:r>
      <w:r w:rsidR="00191B20" w:rsidRPr="00191B20">
        <w:rPr>
          <w:color w:val="000000" w:themeColor="text1"/>
          <w:sz w:val="22"/>
          <w:szCs w:val="22"/>
          <w:lang w:val="ru-MD" w:eastAsia="ro-MD"/>
        </w:rPr>
        <w:t xml:space="preserve">, связанные с небанковской финансовой компанией, рассматриваются как </w:t>
      </w:r>
      <w:r w:rsidR="007B50FB" w:rsidRPr="007B50FB">
        <w:rPr>
          <w:color w:val="000000" w:themeColor="text1"/>
          <w:sz w:val="22"/>
          <w:szCs w:val="22"/>
          <w:lang w:val="ru-MD" w:eastAsia="ro-MD"/>
        </w:rPr>
        <w:t>подверженности перед банками</w:t>
      </w:r>
      <w:r w:rsidR="00191B20" w:rsidRPr="00191B20">
        <w:rPr>
          <w:color w:val="000000" w:themeColor="text1"/>
          <w:sz w:val="22"/>
          <w:szCs w:val="22"/>
          <w:lang w:val="ru-MD" w:eastAsia="ro-MD"/>
        </w:rPr>
        <w:t>, в соответствии с Регламентом № 111/2018;</w:t>
      </w:r>
    </w:p>
    <w:p w14:paraId="156279ED" w14:textId="46B3CC71" w:rsidR="0084652F" w:rsidRPr="00FA5E22" w:rsidRDefault="00B5769E" w:rsidP="0084652F">
      <w:pPr>
        <w:ind w:firstLine="567"/>
        <w:jc w:val="both"/>
        <w:rPr>
          <w:color w:val="000000" w:themeColor="text1"/>
          <w:sz w:val="22"/>
          <w:szCs w:val="22"/>
          <w:lang w:val="ru-MD" w:eastAsia="ro-MD"/>
        </w:rPr>
      </w:pPr>
      <w:r w:rsidRPr="00FA5E22">
        <w:rPr>
          <w:color w:val="000000" w:themeColor="text1"/>
          <w:sz w:val="22"/>
          <w:szCs w:val="22"/>
          <w:lang w:val="ru-MD" w:eastAsia="ro-MD"/>
        </w:rPr>
        <w:t xml:space="preserve">рассматриваемые как </w:t>
      </w:r>
      <w:r w:rsidRPr="00FA5E22">
        <w:rPr>
          <w:sz w:val="22"/>
          <w:szCs w:val="22"/>
          <w:lang w:val="ru-MD" w:eastAsia="ro-MD"/>
        </w:rPr>
        <w:t xml:space="preserve">подверженности перед </w:t>
      </w:r>
      <w:r w:rsidRPr="00FA5E22">
        <w:rPr>
          <w:color w:val="000000" w:themeColor="text1"/>
          <w:sz w:val="22"/>
          <w:szCs w:val="22"/>
          <w:lang w:val="ru-MD" w:eastAsia="ro-MD"/>
        </w:rPr>
        <w:t>банками в соответствии с Регламентом № 111/2018;</w:t>
      </w:r>
    </w:p>
    <w:p w14:paraId="7DEC4466" w14:textId="599A3413" w:rsidR="0084652F" w:rsidRPr="00FA5E22" w:rsidRDefault="0084652F" w:rsidP="0084652F">
      <w:pPr>
        <w:ind w:firstLine="567"/>
        <w:jc w:val="both"/>
        <w:rPr>
          <w:color w:val="000000" w:themeColor="text1"/>
          <w:sz w:val="22"/>
          <w:szCs w:val="22"/>
          <w:lang w:val="ru-MD" w:eastAsia="ro-MD"/>
        </w:rPr>
      </w:pPr>
      <w:r w:rsidRPr="00FA5E22">
        <w:rPr>
          <w:color w:val="000000" w:themeColor="text1"/>
          <w:sz w:val="22"/>
          <w:szCs w:val="22"/>
          <w:lang w:val="ru-MD" w:eastAsia="ro-MD"/>
        </w:rPr>
        <w:t xml:space="preserve">4) </w:t>
      </w:r>
      <w:r w:rsidR="00382CC1" w:rsidRPr="00FA5E22">
        <w:rPr>
          <w:color w:val="000000" w:themeColor="text1"/>
          <w:sz w:val="22"/>
          <w:szCs w:val="22"/>
          <w:lang w:val="ru-MD" w:eastAsia="ro-MD"/>
        </w:rPr>
        <w:t>регулируемые организации финансового сектора, представленные организациями, на которые распространяются пруденциальные требования, либо непосредственно на индивидуальной или консолидированной основе, либо опосредованно на основе пруденциальной консолидации материнской компании, в соответствии с пруденциальной системой, применимой к банкам, инвестиционным компаниям и страховщикам/перестраховщикам, или с пруденциальными требованиями законодательства третьей страны, которые являются по крайней мере эквивалентными тем, которые применяются в Республике Молдова в соответствии с приложением № 5 к Регламенту № 111/2018;</w:t>
      </w:r>
    </w:p>
    <w:p w14:paraId="6C08EBF2" w14:textId="18D3609D" w:rsidR="0084652F" w:rsidRPr="00FA5E22" w:rsidRDefault="0084652F" w:rsidP="0084652F">
      <w:pPr>
        <w:ind w:firstLine="567"/>
        <w:jc w:val="both"/>
        <w:rPr>
          <w:color w:val="000000" w:themeColor="text1"/>
          <w:sz w:val="22"/>
          <w:szCs w:val="22"/>
          <w:lang w:val="ru-MD" w:eastAsia="ro-MD"/>
        </w:rPr>
      </w:pPr>
      <w:r w:rsidRPr="00FA5E22">
        <w:rPr>
          <w:color w:val="000000" w:themeColor="text1"/>
          <w:sz w:val="22"/>
          <w:szCs w:val="22"/>
          <w:lang w:val="ru-MD" w:eastAsia="ro-MD"/>
        </w:rPr>
        <w:t xml:space="preserve">5) </w:t>
      </w:r>
      <w:r w:rsidR="000554A3" w:rsidRPr="00FA5E22">
        <w:rPr>
          <w:color w:val="000000" w:themeColor="text1"/>
          <w:sz w:val="22"/>
          <w:szCs w:val="22"/>
          <w:lang w:val="ru-MD" w:eastAsia="ro-MD"/>
        </w:rPr>
        <w:t>квалифицированные центральные контрагенты (КЦК)</w:t>
      </w:r>
      <w:r w:rsidRPr="00FA5E22">
        <w:rPr>
          <w:color w:val="000000" w:themeColor="text1"/>
          <w:sz w:val="22"/>
          <w:szCs w:val="22"/>
          <w:lang w:val="ru-MD" w:eastAsia="ro-MD"/>
        </w:rPr>
        <w:t>;</w:t>
      </w:r>
    </w:p>
    <w:p w14:paraId="53E0DEA3" w14:textId="4CCDF03F" w:rsidR="00113164" w:rsidRPr="00FA5E22" w:rsidRDefault="0084652F" w:rsidP="0084652F">
      <w:pPr>
        <w:tabs>
          <w:tab w:val="left" w:pos="567"/>
        </w:tabs>
        <w:ind w:firstLine="567"/>
        <w:jc w:val="both"/>
        <w:rPr>
          <w:color w:val="000000" w:themeColor="text1"/>
          <w:sz w:val="22"/>
          <w:szCs w:val="22"/>
          <w:lang w:val="ru-MD"/>
        </w:rPr>
      </w:pPr>
      <w:r w:rsidRPr="00FA5E22">
        <w:rPr>
          <w:color w:val="000000" w:themeColor="text1"/>
          <w:sz w:val="22"/>
          <w:szCs w:val="22"/>
          <w:lang w:val="ru-MD" w:eastAsia="ro-MD"/>
        </w:rPr>
        <w:t xml:space="preserve">6) </w:t>
      </w:r>
      <w:r w:rsidR="00FA5E22" w:rsidRPr="00FA5E22">
        <w:rPr>
          <w:color w:val="000000" w:themeColor="text1"/>
          <w:sz w:val="22"/>
          <w:szCs w:val="22"/>
          <w:lang w:val="ru-MD" w:eastAsia="ro-MD"/>
        </w:rPr>
        <w:t>в случае, если кредитная защита не предоставляется для подверженности из секьюритизации, другие предприятия, имеющие кредитный рейтинг, присвоенный назначенным ECAI, включая материнские компании, дочерние компании или аффилированные лица должника, если прямая подверженность материнских компаний, дочерних компаний или соответствующих аффилированных лиц меньше, чем подверженность перед должником.».</w:t>
      </w:r>
    </w:p>
    <w:p w14:paraId="4C1340B9" w14:textId="204C9B69" w:rsidR="002337D1" w:rsidRPr="00884D1F" w:rsidRDefault="0000535E" w:rsidP="00DD1675">
      <w:pPr>
        <w:pStyle w:val="ListParagraph"/>
        <w:numPr>
          <w:ilvl w:val="1"/>
          <w:numId w:val="27"/>
        </w:numPr>
        <w:tabs>
          <w:tab w:val="left" w:pos="567"/>
        </w:tabs>
        <w:spacing w:before="80"/>
        <w:ind w:left="0" w:firstLine="567"/>
        <w:jc w:val="both"/>
        <w:rPr>
          <w:color w:val="000000" w:themeColor="text1"/>
          <w:sz w:val="22"/>
          <w:szCs w:val="22"/>
          <w:lang w:val="ro-MD"/>
        </w:rPr>
      </w:pPr>
      <w:r>
        <w:rPr>
          <w:color w:val="000000" w:themeColor="text1"/>
          <w:sz w:val="22"/>
          <w:szCs w:val="22"/>
          <w:lang w:val="ru-RU"/>
        </w:rPr>
        <w:t>Дополнить пунктом</w:t>
      </w:r>
      <w:r w:rsidR="00F2028C" w:rsidRPr="00884D1F">
        <w:rPr>
          <w:color w:val="000000" w:themeColor="text1"/>
          <w:sz w:val="22"/>
          <w:szCs w:val="22"/>
          <w:lang w:val="ro-MD"/>
        </w:rPr>
        <w:t xml:space="preserve"> </w:t>
      </w:r>
      <w:r w:rsidR="0084652F" w:rsidRPr="00884D1F">
        <w:rPr>
          <w:color w:val="000000" w:themeColor="text1"/>
          <w:sz w:val="22"/>
          <w:szCs w:val="22"/>
          <w:lang w:val="ro-MD"/>
        </w:rPr>
        <w:t>36</w:t>
      </w:r>
      <w:r w:rsidR="00F2028C" w:rsidRPr="00884D1F">
        <w:rPr>
          <w:color w:val="000000" w:themeColor="text1"/>
          <w:sz w:val="22"/>
          <w:szCs w:val="22"/>
          <w:vertAlign w:val="superscript"/>
          <w:lang w:val="ro-MD"/>
        </w:rPr>
        <w:t>1</w:t>
      </w:r>
      <w:r w:rsidR="0099001D" w:rsidRPr="00884D1F">
        <w:rPr>
          <w:color w:val="000000" w:themeColor="text1"/>
          <w:sz w:val="22"/>
          <w:szCs w:val="22"/>
          <w:lang w:val="ro-MD"/>
        </w:rPr>
        <w:t xml:space="preserve"> </w:t>
      </w:r>
      <w:r>
        <w:rPr>
          <w:color w:val="000000" w:themeColor="text1"/>
          <w:sz w:val="22"/>
          <w:szCs w:val="22"/>
          <w:lang w:val="ru-RU"/>
        </w:rPr>
        <w:t>следующего содержания</w:t>
      </w:r>
      <w:r w:rsidR="00F2028C" w:rsidRPr="00884D1F">
        <w:rPr>
          <w:color w:val="000000" w:themeColor="text1"/>
          <w:sz w:val="22"/>
          <w:szCs w:val="22"/>
          <w:lang w:val="ro-MD"/>
        </w:rPr>
        <w:t>:</w:t>
      </w:r>
    </w:p>
    <w:p w14:paraId="5125E4A3" w14:textId="63978C01" w:rsidR="00F2028C" w:rsidRPr="002205A2" w:rsidRDefault="0000535E" w:rsidP="0099001D">
      <w:pPr>
        <w:jc w:val="both"/>
        <w:rPr>
          <w:color w:val="000000" w:themeColor="text1"/>
          <w:sz w:val="22"/>
          <w:szCs w:val="22"/>
          <w:lang w:val="ru-MD"/>
        </w:rPr>
      </w:pPr>
      <w:r w:rsidRPr="002205A2">
        <w:rPr>
          <w:b/>
          <w:bCs/>
          <w:color w:val="000000" w:themeColor="text1"/>
          <w:sz w:val="22"/>
          <w:szCs w:val="22"/>
          <w:lang w:val="ru-MD" w:eastAsia="ro-MD"/>
        </w:rPr>
        <w:t>«</w:t>
      </w:r>
      <w:r w:rsidR="0084652F" w:rsidRPr="002205A2">
        <w:rPr>
          <w:b/>
          <w:bCs/>
          <w:color w:val="000000" w:themeColor="text1"/>
          <w:sz w:val="22"/>
          <w:szCs w:val="22"/>
          <w:lang w:val="ru-MD" w:eastAsia="ro-MD"/>
        </w:rPr>
        <w:t>36</w:t>
      </w:r>
      <w:r w:rsidR="0084652F" w:rsidRPr="002205A2">
        <w:rPr>
          <w:b/>
          <w:bCs/>
          <w:color w:val="000000" w:themeColor="text1"/>
          <w:sz w:val="22"/>
          <w:szCs w:val="22"/>
          <w:vertAlign w:val="superscript"/>
          <w:lang w:val="ru-MD" w:eastAsia="ro-MD"/>
        </w:rPr>
        <w:t>1</w:t>
      </w:r>
      <w:r w:rsidR="0084652F" w:rsidRPr="002205A2">
        <w:rPr>
          <w:b/>
          <w:bCs/>
          <w:color w:val="000000" w:themeColor="text1"/>
          <w:sz w:val="22"/>
          <w:szCs w:val="22"/>
          <w:lang w:val="ru-MD" w:eastAsia="ro-MD"/>
        </w:rPr>
        <w:t>.</w:t>
      </w:r>
      <w:r w:rsidR="0084652F" w:rsidRPr="002205A2">
        <w:rPr>
          <w:color w:val="000000" w:themeColor="text1"/>
          <w:sz w:val="22"/>
          <w:szCs w:val="22"/>
          <w:lang w:val="ru-MD" w:eastAsia="ro-MD"/>
        </w:rPr>
        <w:t xml:space="preserve"> </w:t>
      </w:r>
      <w:r w:rsidR="002205A2" w:rsidRPr="002205A2">
        <w:rPr>
          <w:color w:val="000000" w:themeColor="text1"/>
          <w:sz w:val="22"/>
          <w:szCs w:val="22"/>
          <w:lang w:val="ru-MD" w:eastAsia="ro-MD"/>
        </w:rPr>
        <w:t>«Помимо поставщиков защиты, перечисленных в пункте 36, организации, которым банки присваивают внутренний рейтинг в соответствии с требованиями к применению подхода IRB, являются приемлемыми поставщиками необеспеченной кредитной защиты в случае, если банк применяет подход IRB в отношении подверженностей перед этими организациями».</w:t>
      </w:r>
    </w:p>
    <w:p w14:paraId="6EEFE21D" w14:textId="07375D04" w:rsidR="00BE47CB" w:rsidRPr="00B50579" w:rsidRDefault="00BE47CB" w:rsidP="00DD1675">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B50579">
        <w:rPr>
          <w:color w:val="000000" w:themeColor="text1"/>
          <w:sz w:val="22"/>
          <w:szCs w:val="22"/>
          <w:lang w:val="ru-RU"/>
        </w:rPr>
        <w:t>В пункте 41 текст «VI» заменяется текстом «V», а после слов «</w:t>
      </w:r>
      <w:r w:rsidR="00F95630" w:rsidRPr="00B50579">
        <w:rPr>
          <w:sz w:val="22"/>
          <w:szCs w:val="22"/>
          <w:lang w:val="ru-RU" w:eastAsia="ro-MD"/>
        </w:rPr>
        <w:t>подверженностей с учетом риска</w:t>
      </w:r>
      <w:r w:rsidRPr="00B50579">
        <w:rPr>
          <w:color w:val="000000" w:themeColor="text1"/>
          <w:sz w:val="22"/>
          <w:szCs w:val="22"/>
          <w:lang w:val="ru-RU"/>
        </w:rPr>
        <w:t>» дополнить слова «и размеров ожидаемых убытков».</w:t>
      </w:r>
    </w:p>
    <w:p w14:paraId="69184BDE" w14:textId="3C11EA05" w:rsidR="00E73142" w:rsidRPr="00884D1F" w:rsidRDefault="00B50579" w:rsidP="00DD1675">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Главу</w:t>
      </w:r>
      <w:r w:rsidR="00D17481" w:rsidRPr="00884D1F">
        <w:rPr>
          <w:color w:val="000000" w:themeColor="text1"/>
          <w:sz w:val="22"/>
          <w:szCs w:val="22"/>
          <w:lang w:val="ro-MD"/>
        </w:rPr>
        <w:t xml:space="preserve"> V </w:t>
      </w:r>
      <w:r>
        <w:rPr>
          <w:color w:val="000000" w:themeColor="text1"/>
          <w:sz w:val="22"/>
          <w:szCs w:val="22"/>
          <w:lang w:val="ru-RU"/>
        </w:rPr>
        <w:t xml:space="preserve">дополнить пунктом </w:t>
      </w:r>
      <w:r w:rsidR="00E73142" w:rsidRPr="00884D1F">
        <w:rPr>
          <w:color w:val="000000" w:themeColor="text1"/>
          <w:sz w:val="22"/>
          <w:szCs w:val="22"/>
          <w:lang w:val="ro-MD"/>
        </w:rPr>
        <w:t>41</w:t>
      </w:r>
      <w:r w:rsidR="00BB299A" w:rsidRPr="00884D1F">
        <w:rPr>
          <w:color w:val="000000" w:themeColor="text1"/>
          <w:sz w:val="22"/>
          <w:szCs w:val="22"/>
          <w:vertAlign w:val="superscript"/>
          <w:lang w:val="ro-MD"/>
        </w:rPr>
        <w:t>1</w:t>
      </w:r>
      <w:r w:rsidR="00E73142" w:rsidRPr="00884D1F">
        <w:rPr>
          <w:color w:val="000000" w:themeColor="text1"/>
          <w:sz w:val="22"/>
          <w:szCs w:val="22"/>
          <w:lang w:val="ro-MD"/>
        </w:rPr>
        <w:t xml:space="preserve"> </w:t>
      </w:r>
      <w:r>
        <w:rPr>
          <w:color w:val="000000" w:themeColor="text1"/>
          <w:sz w:val="22"/>
          <w:szCs w:val="22"/>
          <w:lang w:val="ru-RU"/>
        </w:rPr>
        <w:t>следующего содержания</w:t>
      </w:r>
      <w:r w:rsidR="00E73142" w:rsidRPr="00884D1F">
        <w:rPr>
          <w:color w:val="000000" w:themeColor="text1"/>
          <w:sz w:val="22"/>
          <w:szCs w:val="22"/>
          <w:lang w:val="ro-MD"/>
        </w:rPr>
        <w:t>:</w:t>
      </w:r>
    </w:p>
    <w:p w14:paraId="369998B9" w14:textId="573BFBFB" w:rsidR="00D752A5" w:rsidRPr="003D36E3" w:rsidRDefault="00B50579" w:rsidP="00E73142">
      <w:pPr>
        <w:tabs>
          <w:tab w:val="left" w:pos="567"/>
        </w:tabs>
        <w:jc w:val="both"/>
        <w:rPr>
          <w:color w:val="000000" w:themeColor="text1"/>
          <w:sz w:val="22"/>
          <w:szCs w:val="22"/>
          <w:lang w:val="ru-MD"/>
        </w:rPr>
      </w:pPr>
      <w:r w:rsidRPr="003D36E3">
        <w:rPr>
          <w:color w:val="000000" w:themeColor="text1"/>
          <w:sz w:val="22"/>
          <w:szCs w:val="22"/>
          <w:lang w:val="ru-MD"/>
        </w:rPr>
        <w:t>«</w:t>
      </w:r>
      <w:r w:rsidR="00E73142" w:rsidRPr="003D36E3">
        <w:rPr>
          <w:b/>
          <w:bCs/>
          <w:color w:val="000000" w:themeColor="text1"/>
          <w:sz w:val="22"/>
          <w:szCs w:val="22"/>
          <w:lang w:val="ru-MD" w:eastAsia="ro-MD"/>
        </w:rPr>
        <w:t>41</w:t>
      </w:r>
      <w:r w:rsidR="00E73142" w:rsidRPr="003D36E3">
        <w:rPr>
          <w:b/>
          <w:bCs/>
          <w:color w:val="000000" w:themeColor="text1"/>
          <w:sz w:val="22"/>
          <w:szCs w:val="22"/>
          <w:vertAlign w:val="superscript"/>
          <w:lang w:val="ru-MD" w:eastAsia="ro-MD"/>
        </w:rPr>
        <w:t>1</w:t>
      </w:r>
      <w:r w:rsidR="00E73142" w:rsidRPr="003D36E3">
        <w:rPr>
          <w:b/>
          <w:bCs/>
          <w:color w:val="000000" w:themeColor="text1"/>
          <w:sz w:val="22"/>
          <w:szCs w:val="22"/>
          <w:lang w:val="ru-MD" w:eastAsia="ro-MD"/>
        </w:rPr>
        <w:t>.</w:t>
      </w:r>
      <w:r w:rsidR="00E73142" w:rsidRPr="003D36E3">
        <w:rPr>
          <w:color w:val="000000" w:themeColor="text1"/>
          <w:sz w:val="22"/>
          <w:szCs w:val="22"/>
          <w:lang w:val="ru-MD" w:eastAsia="ro-MD"/>
        </w:rPr>
        <w:t xml:space="preserve"> </w:t>
      </w:r>
      <w:r w:rsidR="003D36E3" w:rsidRPr="003D36E3">
        <w:rPr>
          <w:color w:val="000000" w:themeColor="text1"/>
          <w:sz w:val="22"/>
          <w:szCs w:val="22"/>
          <w:lang w:val="ru-MD" w:eastAsia="ro-MD"/>
        </w:rPr>
        <w:t>«Кредитные производные финансовые инструменты типа «</w:t>
      </w:r>
      <w:proofErr w:type="spellStart"/>
      <w:r w:rsidR="003D36E3" w:rsidRPr="003D36E3">
        <w:rPr>
          <w:color w:val="000000" w:themeColor="text1"/>
          <w:sz w:val="22"/>
          <w:szCs w:val="22"/>
          <w:lang w:val="ru-MD" w:eastAsia="ro-MD"/>
        </w:rPr>
        <w:t>first-to-default</w:t>
      </w:r>
      <w:proofErr w:type="spellEnd"/>
      <w:r w:rsidR="003D36E3" w:rsidRPr="003D36E3">
        <w:rPr>
          <w:color w:val="000000" w:themeColor="text1"/>
          <w:sz w:val="22"/>
          <w:szCs w:val="22"/>
          <w:lang w:val="ru-MD" w:eastAsia="ro-MD"/>
        </w:rPr>
        <w:t>» и все прочие кредитные производные финансовые инструменты типа «</w:t>
      </w:r>
      <w:proofErr w:type="spellStart"/>
      <w:r w:rsidR="003D36E3" w:rsidRPr="003D36E3">
        <w:rPr>
          <w:color w:val="000000" w:themeColor="text1"/>
          <w:sz w:val="22"/>
          <w:szCs w:val="22"/>
          <w:lang w:val="ru-MD" w:eastAsia="ro-MD"/>
        </w:rPr>
        <w:t>nth-to-default</w:t>
      </w:r>
      <w:proofErr w:type="spellEnd"/>
      <w:r w:rsidR="003D36E3" w:rsidRPr="003D36E3">
        <w:rPr>
          <w:color w:val="000000" w:themeColor="text1"/>
          <w:sz w:val="22"/>
          <w:szCs w:val="22"/>
          <w:lang w:val="ru-MD" w:eastAsia="ro-MD"/>
        </w:rPr>
        <w:t>» не являются допустимыми видами необеспеченной кредитной защиты.».</w:t>
      </w:r>
    </w:p>
    <w:p w14:paraId="11B198CE" w14:textId="73B19214" w:rsidR="006802B5" w:rsidRPr="00884D1F" w:rsidRDefault="00393A58" w:rsidP="00DD1675">
      <w:pPr>
        <w:pStyle w:val="ListParagraph"/>
        <w:numPr>
          <w:ilvl w:val="1"/>
          <w:numId w:val="27"/>
        </w:numPr>
        <w:tabs>
          <w:tab w:val="left" w:pos="567"/>
        </w:tabs>
        <w:spacing w:before="80"/>
        <w:ind w:left="0" w:firstLine="567"/>
        <w:jc w:val="both"/>
        <w:rPr>
          <w:color w:val="000000" w:themeColor="text1"/>
          <w:sz w:val="22"/>
          <w:szCs w:val="22"/>
          <w:lang w:val="ro-MD"/>
        </w:rPr>
      </w:pPr>
      <w:r>
        <w:rPr>
          <w:color w:val="000000" w:themeColor="text1"/>
          <w:sz w:val="22"/>
          <w:szCs w:val="22"/>
          <w:lang w:val="ru-RU"/>
        </w:rPr>
        <w:t>Дополнить главой</w:t>
      </w:r>
      <w:r w:rsidR="00BB299A" w:rsidRPr="00884D1F">
        <w:rPr>
          <w:color w:val="000000" w:themeColor="text1"/>
          <w:sz w:val="22"/>
          <w:szCs w:val="22"/>
          <w:lang w:val="ro-MD"/>
        </w:rPr>
        <w:t xml:space="preserve"> V</w:t>
      </w:r>
      <w:r w:rsidR="000D166D" w:rsidRPr="00884D1F">
        <w:rPr>
          <w:color w:val="000000" w:themeColor="text1"/>
          <w:sz w:val="22"/>
          <w:szCs w:val="22"/>
          <w:vertAlign w:val="superscript"/>
          <w:lang w:val="ro-MD"/>
        </w:rPr>
        <w:t>1</w:t>
      </w:r>
      <w:r w:rsidR="00433F1F" w:rsidRPr="00884D1F">
        <w:rPr>
          <w:color w:val="000000" w:themeColor="text1"/>
          <w:sz w:val="22"/>
          <w:szCs w:val="22"/>
          <w:lang w:val="ro-MD"/>
        </w:rPr>
        <w:t xml:space="preserve"> </w:t>
      </w:r>
      <w:r w:rsidR="00B50579">
        <w:rPr>
          <w:color w:val="000000" w:themeColor="text1"/>
          <w:sz w:val="22"/>
          <w:szCs w:val="22"/>
          <w:lang w:val="ru-RU"/>
        </w:rPr>
        <w:t>следующего содержания</w:t>
      </w:r>
      <w:r w:rsidR="00433F1F" w:rsidRPr="00884D1F">
        <w:rPr>
          <w:color w:val="000000" w:themeColor="text1"/>
          <w:sz w:val="22"/>
          <w:szCs w:val="22"/>
          <w:lang w:val="ro-MD"/>
        </w:rPr>
        <w:t>:</w:t>
      </w:r>
    </w:p>
    <w:p w14:paraId="2DDB6C36" w14:textId="479A7208" w:rsidR="00BB299A" w:rsidRPr="00884D1F" w:rsidRDefault="00393A58" w:rsidP="00BB299A">
      <w:pPr>
        <w:jc w:val="center"/>
        <w:rPr>
          <w:b/>
          <w:bCs/>
          <w:color w:val="000000" w:themeColor="text1"/>
          <w:sz w:val="22"/>
          <w:szCs w:val="22"/>
          <w:lang w:val="ro-RO" w:eastAsia="ro-MD"/>
        </w:rPr>
      </w:pPr>
      <w:r w:rsidRPr="00393A58">
        <w:rPr>
          <w:b/>
          <w:bCs/>
          <w:color w:val="000000" w:themeColor="text1"/>
          <w:sz w:val="22"/>
          <w:szCs w:val="22"/>
          <w:lang w:val="ru-RU"/>
        </w:rPr>
        <w:t>«Глава</w:t>
      </w:r>
      <w:r w:rsidR="00BB299A" w:rsidRPr="00884D1F">
        <w:rPr>
          <w:b/>
          <w:bCs/>
          <w:color w:val="000000" w:themeColor="text1"/>
          <w:sz w:val="22"/>
          <w:szCs w:val="22"/>
          <w:lang w:val="ro-RO" w:eastAsia="ro-MD"/>
        </w:rPr>
        <w:t xml:space="preserve"> V</w:t>
      </w:r>
      <w:r w:rsidR="00BB299A" w:rsidRPr="00884D1F">
        <w:rPr>
          <w:b/>
          <w:bCs/>
          <w:color w:val="000000" w:themeColor="text1"/>
          <w:sz w:val="22"/>
          <w:szCs w:val="22"/>
          <w:vertAlign w:val="superscript"/>
          <w:lang w:val="ro-RO" w:eastAsia="ro-MD"/>
        </w:rPr>
        <w:t>1</w:t>
      </w:r>
    </w:p>
    <w:p w14:paraId="6F67A65E" w14:textId="77777777" w:rsidR="008318E6" w:rsidRPr="008318E6" w:rsidRDefault="008318E6" w:rsidP="008318E6">
      <w:pPr>
        <w:jc w:val="center"/>
        <w:rPr>
          <w:b/>
          <w:bCs/>
          <w:color w:val="000000" w:themeColor="text1"/>
          <w:sz w:val="22"/>
          <w:szCs w:val="22"/>
          <w:lang w:val="ro-RO" w:eastAsia="ro-MD"/>
        </w:rPr>
      </w:pPr>
      <w:r w:rsidRPr="008318E6">
        <w:rPr>
          <w:b/>
          <w:bCs/>
          <w:color w:val="000000" w:themeColor="text1"/>
          <w:sz w:val="22"/>
          <w:szCs w:val="22"/>
          <w:lang w:val="ro-RO" w:eastAsia="ro-MD"/>
        </w:rPr>
        <w:t>ПРИЕМЛЕМЫЕ ВИДЫ</w:t>
      </w:r>
    </w:p>
    <w:p w14:paraId="751DCE82" w14:textId="77777777" w:rsidR="008318E6" w:rsidRDefault="008318E6" w:rsidP="008318E6">
      <w:pPr>
        <w:jc w:val="center"/>
        <w:rPr>
          <w:b/>
          <w:bCs/>
          <w:color w:val="000000" w:themeColor="text1"/>
          <w:sz w:val="22"/>
          <w:szCs w:val="22"/>
          <w:lang w:val="ru-RU" w:eastAsia="ro-MD"/>
        </w:rPr>
      </w:pPr>
      <w:r w:rsidRPr="008318E6">
        <w:rPr>
          <w:b/>
          <w:bCs/>
          <w:color w:val="000000" w:themeColor="text1"/>
          <w:sz w:val="22"/>
          <w:szCs w:val="22"/>
          <w:lang w:val="ro-RO" w:eastAsia="ro-MD"/>
        </w:rPr>
        <w:t xml:space="preserve">ПРОИЗВОДНЫХ ФИНАНСОВЫХ ИНСТРУМЕНТОВ </w:t>
      </w:r>
    </w:p>
    <w:p w14:paraId="207B3F13" w14:textId="74CCEFF0" w:rsidR="00BB299A" w:rsidRPr="00884D1F" w:rsidRDefault="008318E6" w:rsidP="008318E6">
      <w:pPr>
        <w:jc w:val="center"/>
        <w:rPr>
          <w:b/>
          <w:bCs/>
          <w:color w:val="000000" w:themeColor="text1"/>
          <w:sz w:val="22"/>
          <w:szCs w:val="22"/>
          <w:lang w:val="ro-RO" w:eastAsia="ro-MD"/>
        </w:rPr>
      </w:pPr>
      <w:r w:rsidRPr="008318E6">
        <w:rPr>
          <w:b/>
          <w:bCs/>
          <w:color w:val="000000" w:themeColor="text1"/>
          <w:sz w:val="22"/>
          <w:szCs w:val="22"/>
          <w:lang w:val="ro-RO" w:eastAsia="ro-MD"/>
        </w:rPr>
        <w:t xml:space="preserve">НА КАПИТАЛЬНЫЕ ЦЕННЫЕ БУМАГИ </w:t>
      </w:r>
    </w:p>
    <w:p w14:paraId="332F90CC" w14:textId="5AC0E065" w:rsidR="00BB299A" w:rsidRPr="00FC182B" w:rsidRDefault="00BB299A" w:rsidP="00BB299A">
      <w:pPr>
        <w:jc w:val="both"/>
        <w:rPr>
          <w:color w:val="000000" w:themeColor="text1"/>
          <w:sz w:val="22"/>
          <w:szCs w:val="22"/>
          <w:lang w:val="ru-RU" w:eastAsia="ro-MD"/>
        </w:rPr>
      </w:pPr>
      <w:r w:rsidRPr="00FC182B">
        <w:rPr>
          <w:b/>
          <w:bCs/>
          <w:color w:val="000000" w:themeColor="text1"/>
          <w:sz w:val="22"/>
          <w:szCs w:val="22"/>
          <w:lang w:val="ru-RU" w:eastAsia="ro-MD"/>
        </w:rPr>
        <w:t>41</w:t>
      </w:r>
      <w:r w:rsidRPr="00FC182B">
        <w:rPr>
          <w:b/>
          <w:bCs/>
          <w:color w:val="000000" w:themeColor="text1"/>
          <w:sz w:val="22"/>
          <w:szCs w:val="22"/>
          <w:vertAlign w:val="superscript"/>
          <w:lang w:val="ru-RU" w:eastAsia="ro-MD"/>
        </w:rPr>
        <w:t>2</w:t>
      </w:r>
      <w:r w:rsidRPr="00FC182B">
        <w:rPr>
          <w:b/>
          <w:bCs/>
          <w:color w:val="000000" w:themeColor="text1"/>
          <w:sz w:val="22"/>
          <w:szCs w:val="22"/>
          <w:lang w:val="ru-RU" w:eastAsia="ro-MD"/>
        </w:rPr>
        <w:t>.</w:t>
      </w:r>
      <w:r w:rsidRPr="00FC182B">
        <w:rPr>
          <w:color w:val="000000" w:themeColor="text1"/>
          <w:sz w:val="22"/>
          <w:szCs w:val="22"/>
          <w:lang w:val="ru-RU" w:eastAsia="ro-MD"/>
        </w:rPr>
        <w:t xml:space="preserve"> </w:t>
      </w:r>
      <w:r w:rsidR="00013D15" w:rsidRPr="00FC182B">
        <w:rPr>
          <w:color w:val="000000" w:themeColor="text1"/>
          <w:sz w:val="22"/>
          <w:szCs w:val="22"/>
          <w:lang w:val="ru-RU" w:eastAsia="ro-MD"/>
        </w:rPr>
        <w:t>Банки могут использовать в качестве допустимого обеспечения кредита производные финансовые инструменты на капитальные ценные бумаги, представляющие собой свопы на общий доход (</w:t>
      </w:r>
      <w:proofErr w:type="spellStart"/>
      <w:r w:rsidR="00013D15" w:rsidRPr="00FC182B">
        <w:rPr>
          <w:color w:val="000000" w:themeColor="text1"/>
          <w:sz w:val="22"/>
          <w:szCs w:val="22"/>
          <w:lang w:val="ru-RU" w:eastAsia="ro-MD"/>
        </w:rPr>
        <w:t>total</w:t>
      </w:r>
      <w:proofErr w:type="spellEnd"/>
      <w:r w:rsidR="00013D15" w:rsidRPr="00FC182B">
        <w:rPr>
          <w:color w:val="000000" w:themeColor="text1"/>
          <w:sz w:val="22"/>
          <w:szCs w:val="22"/>
          <w:lang w:val="ru-RU" w:eastAsia="ro-MD"/>
        </w:rPr>
        <w:t xml:space="preserve"> </w:t>
      </w:r>
      <w:proofErr w:type="spellStart"/>
      <w:r w:rsidR="00013D15" w:rsidRPr="00FC182B">
        <w:rPr>
          <w:color w:val="000000" w:themeColor="text1"/>
          <w:sz w:val="22"/>
          <w:szCs w:val="22"/>
          <w:lang w:val="ru-RU" w:eastAsia="ro-MD"/>
        </w:rPr>
        <w:t>return</w:t>
      </w:r>
      <w:proofErr w:type="spellEnd"/>
      <w:r w:rsidR="00013D15" w:rsidRPr="00FC182B">
        <w:rPr>
          <w:color w:val="000000" w:themeColor="text1"/>
          <w:sz w:val="22"/>
          <w:szCs w:val="22"/>
          <w:lang w:val="ru-RU" w:eastAsia="ro-MD"/>
        </w:rPr>
        <w:t xml:space="preserve"> </w:t>
      </w:r>
      <w:proofErr w:type="spellStart"/>
      <w:r w:rsidR="00013D15" w:rsidRPr="00FC182B">
        <w:rPr>
          <w:color w:val="000000" w:themeColor="text1"/>
          <w:sz w:val="22"/>
          <w:szCs w:val="22"/>
          <w:lang w:val="ru-RU" w:eastAsia="ro-MD"/>
        </w:rPr>
        <w:t>swap</w:t>
      </w:r>
      <w:proofErr w:type="spellEnd"/>
      <w:r w:rsidR="00013D15" w:rsidRPr="00FC182B">
        <w:rPr>
          <w:color w:val="000000" w:themeColor="text1"/>
          <w:sz w:val="22"/>
          <w:szCs w:val="22"/>
          <w:lang w:val="ru-RU" w:eastAsia="ro-MD"/>
        </w:rPr>
        <w:t>) или фактически аналогичные им с экономической точки зрения, но исключительно в целях внутреннего хеджирования</w:t>
      </w:r>
      <w:r w:rsidRPr="00FC182B">
        <w:rPr>
          <w:color w:val="000000" w:themeColor="text1"/>
          <w:sz w:val="22"/>
          <w:szCs w:val="22"/>
          <w:lang w:val="ru-RU" w:eastAsia="ro-MD"/>
        </w:rPr>
        <w:t>.</w:t>
      </w:r>
    </w:p>
    <w:p w14:paraId="42D2B43B" w14:textId="5066B91A" w:rsidR="00BB299A" w:rsidRPr="00FC182B" w:rsidRDefault="00BB299A" w:rsidP="00BB299A">
      <w:pPr>
        <w:jc w:val="both"/>
        <w:rPr>
          <w:color w:val="000000" w:themeColor="text1"/>
          <w:sz w:val="22"/>
          <w:szCs w:val="22"/>
          <w:lang w:val="ru-RU" w:eastAsia="ro-MD"/>
        </w:rPr>
      </w:pPr>
      <w:r w:rsidRPr="00FC182B">
        <w:rPr>
          <w:b/>
          <w:bCs/>
          <w:color w:val="000000" w:themeColor="text1"/>
          <w:sz w:val="22"/>
          <w:szCs w:val="22"/>
          <w:lang w:val="ru-RU" w:eastAsia="ro-MD"/>
        </w:rPr>
        <w:t>41</w:t>
      </w:r>
      <w:r w:rsidRPr="00FC182B">
        <w:rPr>
          <w:b/>
          <w:bCs/>
          <w:color w:val="000000" w:themeColor="text1"/>
          <w:sz w:val="22"/>
          <w:szCs w:val="22"/>
          <w:vertAlign w:val="superscript"/>
          <w:lang w:val="ru-RU" w:eastAsia="ro-MD"/>
        </w:rPr>
        <w:t>3</w:t>
      </w:r>
      <w:r w:rsidRPr="00FC182B">
        <w:rPr>
          <w:b/>
          <w:bCs/>
          <w:color w:val="000000" w:themeColor="text1"/>
          <w:sz w:val="22"/>
          <w:szCs w:val="22"/>
          <w:lang w:val="ru-RU" w:eastAsia="ro-MD"/>
        </w:rPr>
        <w:t>.</w:t>
      </w:r>
      <w:r w:rsidRPr="00FC182B">
        <w:rPr>
          <w:color w:val="000000" w:themeColor="text1"/>
          <w:sz w:val="22"/>
          <w:szCs w:val="22"/>
          <w:lang w:val="ru-RU" w:eastAsia="ro-MD"/>
        </w:rPr>
        <w:t xml:space="preserve"> </w:t>
      </w:r>
      <w:r w:rsidR="00013D15" w:rsidRPr="00FC182B">
        <w:rPr>
          <w:color w:val="000000" w:themeColor="text1"/>
          <w:sz w:val="22"/>
          <w:szCs w:val="22"/>
          <w:lang w:val="ru-RU" w:eastAsia="ro-MD"/>
        </w:rPr>
        <w:t>Если банк приобретает кредитную защиту посредством инструмента типа свопа с полным доходом и отражает полученные по свопу чистые платежи в качестве чистой выручки, но не отражает соответствующее снижение стоимости защищаемого актива путем уменьшения его справедливой стоимости или увеличения резервов, такая кредитная защита не квалифицируется как приемлемая кредитная защита</w:t>
      </w:r>
      <w:r w:rsidRPr="00FC182B">
        <w:rPr>
          <w:color w:val="000000" w:themeColor="text1"/>
          <w:sz w:val="22"/>
          <w:szCs w:val="22"/>
          <w:lang w:val="ru-RU" w:eastAsia="ro-MD"/>
        </w:rPr>
        <w:t>.</w:t>
      </w:r>
    </w:p>
    <w:p w14:paraId="7D04EAED" w14:textId="7DEF858B" w:rsidR="00BB299A" w:rsidRPr="00FC182B" w:rsidRDefault="00BB299A" w:rsidP="00BB299A">
      <w:pPr>
        <w:jc w:val="both"/>
        <w:rPr>
          <w:color w:val="000000" w:themeColor="text1"/>
          <w:sz w:val="22"/>
          <w:szCs w:val="22"/>
          <w:lang w:val="ru-RU" w:eastAsia="ro-MD"/>
        </w:rPr>
      </w:pPr>
      <w:r w:rsidRPr="00FC182B">
        <w:rPr>
          <w:b/>
          <w:bCs/>
          <w:color w:val="000000" w:themeColor="text1"/>
          <w:sz w:val="22"/>
          <w:szCs w:val="22"/>
          <w:lang w:val="ru-RU" w:eastAsia="ro-MD"/>
        </w:rPr>
        <w:lastRenderedPageBreak/>
        <w:t>41</w:t>
      </w:r>
      <w:r w:rsidRPr="00FC182B">
        <w:rPr>
          <w:b/>
          <w:bCs/>
          <w:color w:val="000000" w:themeColor="text1"/>
          <w:sz w:val="22"/>
          <w:szCs w:val="22"/>
          <w:vertAlign w:val="superscript"/>
          <w:lang w:val="ru-RU" w:eastAsia="ro-MD"/>
        </w:rPr>
        <w:t>4</w:t>
      </w:r>
      <w:r w:rsidRPr="00FC182B">
        <w:rPr>
          <w:b/>
          <w:bCs/>
          <w:color w:val="000000" w:themeColor="text1"/>
          <w:sz w:val="22"/>
          <w:szCs w:val="22"/>
          <w:lang w:val="ru-RU" w:eastAsia="ro-MD"/>
        </w:rPr>
        <w:t>.</w:t>
      </w:r>
      <w:r w:rsidRPr="00FC182B">
        <w:rPr>
          <w:color w:val="000000" w:themeColor="text1"/>
          <w:sz w:val="22"/>
          <w:szCs w:val="22"/>
          <w:lang w:val="ru-RU" w:eastAsia="ro-MD"/>
        </w:rPr>
        <w:t xml:space="preserve"> </w:t>
      </w:r>
      <w:r w:rsidR="00FC182B" w:rsidRPr="00FC182B">
        <w:rPr>
          <w:color w:val="000000" w:themeColor="text1"/>
          <w:sz w:val="22"/>
          <w:szCs w:val="22"/>
          <w:lang w:val="ru-RU" w:eastAsia="ro-MD"/>
        </w:rPr>
        <w:t>Если банк осуществляет внутреннее хеджирование риска с использованием производного финансового инструмента на капитальные ценные бумаги, то для того, чтобы такое внутреннее хеджирование считалось приемлемой кредитной защитой, переданный в торговый портфель кредитный риск должен быть передан одной или нескольким третьим сторонам</w:t>
      </w:r>
      <w:r w:rsidRPr="00FC182B">
        <w:rPr>
          <w:color w:val="000000" w:themeColor="text1"/>
          <w:sz w:val="22"/>
          <w:szCs w:val="22"/>
          <w:lang w:val="ru-RU" w:eastAsia="ro-MD"/>
        </w:rPr>
        <w:t>.</w:t>
      </w:r>
    </w:p>
    <w:p w14:paraId="11146609" w14:textId="7C5125FE" w:rsidR="00433F1F" w:rsidRPr="008A53E5" w:rsidRDefault="00BB299A" w:rsidP="00BB299A">
      <w:pPr>
        <w:jc w:val="both"/>
        <w:rPr>
          <w:color w:val="000000" w:themeColor="text1"/>
          <w:sz w:val="22"/>
          <w:szCs w:val="22"/>
          <w:lang w:val="ru-MD"/>
        </w:rPr>
      </w:pPr>
      <w:r w:rsidRPr="008A53E5">
        <w:rPr>
          <w:b/>
          <w:bCs/>
          <w:color w:val="000000" w:themeColor="text1"/>
          <w:sz w:val="22"/>
          <w:szCs w:val="22"/>
          <w:lang w:val="ru-MD" w:eastAsia="ro-MD"/>
        </w:rPr>
        <w:t>41</w:t>
      </w:r>
      <w:r w:rsidRPr="008A53E5">
        <w:rPr>
          <w:b/>
          <w:bCs/>
          <w:color w:val="000000" w:themeColor="text1"/>
          <w:sz w:val="22"/>
          <w:szCs w:val="22"/>
          <w:vertAlign w:val="superscript"/>
          <w:lang w:val="ru-MD" w:eastAsia="ro-MD"/>
        </w:rPr>
        <w:t>5</w:t>
      </w:r>
      <w:r w:rsidRPr="008A53E5">
        <w:rPr>
          <w:b/>
          <w:bCs/>
          <w:color w:val="000000" w:themeColor="text1"/>
          <w:sz w:val="22"/>
          <w:szCs w:val="22"/>
          <w:lang w:val="ru-MD" w:eastAsia="ro-MD"/>
        </w:rPr>
        <w:t>.</w:t>
      </w:r>
      <w:r w:rsidRPr="008A53E5">
        <w:rPr>
          <w:color w:val="000000" w:themeColor="text1"/>
          <w:sz w:val="22"/>
          <w:szCs w:val="22"/>
          <w:lang w:val="ru-MD" w:eastAsia="ro-MD"/>
        </w:rPr>
        <w:t xml:space="preserve"> </w:t>
      </w:r>
      <w:r w:rsidR="008A53E5" w:rsidRPr="008A53E5">
        <w:rPr>
          <w:color w:val="000000" w:themeColor="text1"/>
          <w:sz w:val="22"/>
          <w:szCs w:val="22"/>
          <w:lang w:val="ru-MD" w:eastAsia="ro-MD"/>
        </w:rPr>
        <w:t>Если было осуществлено внутреннее покрытие риска в соответствии с пунктом 41</w:t>
      </w:r>
      <w:r w:rsidR="008A53E5">
        <w:rPr>
          <w:color w:val="000000" w:themeColor="text1"/>
          <w:sz w:val="22"/>
          <w:szCs w:val="22"/>
          <w:vertAlign w:val="superscript"/>
          <w:lang w:val="ru-MD" w:eastAsia="ro-MD"/>
        </w:rPr>
        <w:t>4</w:t>
      </w:r>
      <w:r w:rsidR="008A53E5" w:rsidRPr="008A53E5">
        <w:rPr>
          <w:color w:val="000000" w:themeColor="text1"/>
          <w:sz w:val="22"/>
          <w:szCs w:val="22"/>
          <w:lang w:val="ru-MD" w:eastAsia="ro-MD"/>
        </w:rPr>
        <w:t>, и требования, предусмотренные в настоящем регламенте, были выполнены, банки применяют правила, установленные в главах IV–V, при расчете значений взвешенных с учетом риска сумм подверженностей и величин ожидаемых убытков в случае приобретения необеспеченной кредитной защиты.».</w:t>
      </w:r>
    </w:p>
    <w:p w14:paraId="609F9E6C" w14:textId="7F89F7C1" w:rsidR="000D166D" w:rsidRPr="00884D1F" w:rsidRDefault="008A53E5" w:rsidP="00F96223">
      <w:pPr>
        <w:pStyle w:val="ListParagraph"/>
        <w:numPr>
          <w:ilvl w:val="1"/>
          <w:numId w:val="27"/>
        </w:numPr>
        <w:tabs>
          <w:tab w:val="left" w:pos="567"/>
        </w:tabs>
        <w:ind w:left="0" w:firstLine="567"/>
        <w:jc w:val="both"/>
        <w:rPr>
          <w:color w:val="000000" w:themeColor="text1"/>
          <w:sz w:val="22"/>
          <w:szCs w:val="22"/>
          <w:lang w:val="ro-MD"/>
        </w:rPr>
      </w:pPr>
      <w:r>
        <w:rPr>
          <w:color w:val="000000" w:themeColor="text1"/>
          <w:sz w:val="22"/>
          <w:szCs w:val="22"/>
          <w:lang w:val="ru-RU"/>
        </w:rPr>
        <w:t>Пункт</w:t>
      </w:r>
      <w:r w:rsidR="000D166D" w:rsidRPr="00884D1F">
        <w:rPr>
          <w:color w:val="000000" w:themeColor="text1"/>
          <w:sz w:val="22"/>
          <w:szCs w:val="22"/>
          <w:lang w:val="ro-MD"/>
        </w:rPr>
        <w:t xml:space="preserve"> </w:t>
      </w:r>
      <w:r w:rsidR="00D71CDA" w:rsidRPr="00884D1F">
        <w:rPr>
          <w:color w:val="000000" w:themeColor="text1"/>
          <w:sz w:val="22"/>
          <w:szCs w:val="22"/>
          <w:lang w:val="ro-MD"/>
        </w:rPr>
        <w:t>46</w:t>
      </w:r>
      <w:r w:rsidR="000D166D" w:rsidRPr="00884D1F">
        <w:rPr>
          <w:color w:val="000000" w:themeColor="text1"/>
          <w:sz w:val="22"/>
          <w:szCs w:val="22"/>
          <w:lang w:val="ro-MD"/>
        </w:rPr>
        <w:t xml:space="preserve"> </w:t>
      </w:r>
      <w:r>
        <w:rPr>
          <w:color w:val="000000" w:themeColor="text1"/>
          <w:sz w:val="22"/>
          <w:szCs w:val="22"/>
          <w:lang w:val="ru-RU"/>
        </w:rPr>
        <w:t>изложить в следующей редакции</w:t>
      </w:r>
      <w:r w:rsidR="00D71CDA" w:rsidRPr="00884D1F">
        <w:rPr>
          <w:color w:val="000000" w:themeColor="text1"/>
          <w:sz w:val="22"/>
          <w:szCs w:val="22"/>
          <w:lang w:val="ro-MD"/>
        </w:rPr>
        <w:t>:</w:t>
      </w:r>
    </w:p>
    <w:p w14:paraId="06070AE5" w14:textId="5241C5AD" w:rsidR="00473EF4" w:rsidRPr="000C5616" w:rsidRDefault="00D972B9" w:rsidP="00D71CDA">
      <w:pPr>
        <w:jc w:val="both"/>
        <w:rPr>
          <w:color w:val="000000" w:themeColor="text1"/>
          <w:sz w:val="22"/>
          <w:szCs w:val="22"/>
          <w:lang w:val="ru-RU"/>
        </w:rPr>
      </w:pPr>
      <w:r w:rsidRPr="000C5616">
        <w:rPr>
          <w:b/>
          <w:bCs/>
          <w:color w:val="000000" w:themeColor="text1"/>
          <w:sz w:val="22"/>
          <w:szCs w:val="22"/>
          <w:lang w:val="ru-RU"/>
        </w:rPr>
        <w:t>«</w:t>
      </w:r>
      <w:r w:rsidR="00D039A9" w:rsidRPr="000C5616">
        <w:rPr>
          <w:b/>
          <w:bCs/>
          <w:color w:val="000000" w:themeColor="text1"/>
          <w:sz w:val="22"/>
          <w:szCs w:val="22"/>
          <w:lang w:val="ru-RU"/>
        </w:rPr>
        <w:t>4</w:t>
      </w:r>
      <w:r w:rsidR="00D71CDA" w:rsidRPr="000C5616">
        <w:rPr>
          <w:b/>
          <w:bCs/>
          <w:color w:val="000000" w:themeColor="text1"/>
          <w:sz w:val="22"/>
          <w:szCs w:val="22"/>
          <w:lang w:val="ru-RU"/>
        </w:rPr>
        <w:t>6</w:t>
      </w:r>
      <w:r w:rsidR="00D039A9" w:rsidRPr="000C5616">
        <w:rPr>
          <w:b/>
          <w:bCs/>
          <w:color w:val="000000" w:themeColor="text1"/>
          <w:sz w:val="22"/>
          <w:szCs w:val="22"/>
          <w:lang w:val="ru-RU"/>
        </w:rPr>
        <w:t>.</w:t>
      </w:r>
      <w:r w:rsidR="00D039A9" w:rsidRPr="000C5616">
        <w:rPr>
          <w:color w:val="000000" w:themeColor="text1"/>
          <w:sz w:val="22"/>
          <w:szCs w:val="22"/>
          <w:lang w:val="ru-RU"/>
        </w:rPr>
        <w:t xml:space="preserve"> </w:t>
      </w:r>
      <w:r w:rsidR="000C5616" w:rsidRPr="000C5616">
        <w:rPr>
          <w:color w:val="000000" w:themeColor="text1"/>
          <w:sz w:val="22"/>
          <w:szCs w:val="22"/>
          <w:lang w:val="ru-RU" w:eastAsia="ro-MD"/>
        </w:rPr>
        <w:t>Ценные бумаги, выпущенные должником или любой другой организацией в составе группы, не считаются приемлемым обеспечением. Тем не менее, обеспеченные облигации, выпущенные заемщиком, которые соответствуют условиям, предусмотренным в Регламенте № 111/2018, квалифицируются в качестве приемлемого обеспечения, когда они предоставляются в качестве обеспечения для сделки обратного выкупа, при условии соблюдения положений, предусмотренных в пункте 45.»</w:t>
      </w:r>
      <w:r w:rsidR="005F4D74" w:rsidRPr="000C5616">
        <w:rPr>
          <w:color w:val="000000" w:themeColor="text1"/>
          <w:sz w:val="22"/>
          <w:szCs w:val="22"/>
          <w:lang w:val="ru-RU"/>
        </w:rPr>
        <w:t>.</w:t>
      </w:r>
    </w:p>
    <w:p w14:paraId="53F35A6B" w14:textId="040E5EA3" w:rsidR="007B1AF8" w:rsidRPr="00884D1F" w:rsidRDefault="00230488" w:rsidP="00D515E4">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Пункт</w:t>
      </w:r>
      <w:r w:rsidRPr="00230488">
        <w:rPr>
          <w:color w:val="000000" w:themeColor="text1"/>
          <w:sz w:val="22"/>
          <w:szCs w:val="22"/>
          <w:lang w:val="ru-RU"/>
        </w:rPr>
        <w:t xml:space="preserve"> </w:t>
      </w:r>
      <w:r w:rsidR="004B6508" w:rsidRPr="00884D1F">
        <w:rPr>
          <w:color w:val="000000" w:themeColor="text1"/>
          <w:sz w:val="22"/>
          <w:szCs w:val="22"/>
          <w:lang w:val="ro-MD"/>
        </w:rPr>
        <w:t xml:space="preserve">49 </w:t>
      </w:r>
      <w:r>
        <w:rPr>
          <w:color w:val="000000" w:themeColor="text1"/>
          <w:sz w:val="22"/>
          <w:szCs w:val="22"/>
          <w:lang w:val="ru-RU"/>
        </w:rPr>
        <w:t>подпункт</w:t>
      </w:r>
      <w:r w:rsidR="007B1AF8" w:rsidRPr="00884D1F">
        <w:rPr>
          <w:color w:val="000000" w:themeColor="text1"/>
          <w:sz w:val="22"/>
          <w:szCs w:val="22"/>
          <w:lang w:val="ro-MD"/>
        </w:rPr>
        <w:t xml:space="preserve"> </w:t>
      </w:r>
      <w:r w:rsidR="004B6508" w:rsidRPr="00884D1F">
        <w:rPr>
          <w:color w:val="000000" w:themeColor="text1"/>
          <w:sz w:val="22"/>
          <w:szCs w:val="22"/>
          <w:lang w:val="ro-MD"/>
        </w:rPr>
        <w:t xml:space="preserve">4) </w:t>
      </w:r>
      <w:r>
        <w:rPr>
          <w:color w:val="000000" w:themeColor="text1"/>
          <w:sz w:val="22"/>
          <w:szCs w:val="22"/>
          <w:lang w:val="ru-RU"/>
        </w:rPr>
        <w:t>дополнить</w:t>
      </w:r>
      <w:r w:rsidRPr="00230488">
        <w:rPr>
          <w:color w:val="000000" w:themeColor="text1"/>
          <w:sz w:val="22"/>
          <w:szCs w:val="22"/>
          <w:lang w:val="ru-RU"/>
        </w:rPr>
        <w:t xml:space="preserve"> </w:t>
      </w:r>
      <w:r>
        <w:rPr>
          <w:color w:val="000000" w:themeColor="text1"/>
          <w:sz w:val="22"/>
          <w:szCs w:val="22"/>
          <w:lang w:val="ru-RU"/>
        </w:rPr>
        <w:t>текстом «</w:t>
      </w:r>
      <w:r w:rsidR="000D5BA8">
        <w:rPr>
          <w:color w:val="000000" w:themeColor="text1"/>
          <w:sz w:val="22"/>
          <w:szCs w:val="22"/>
          <w:lang w:val="ru-RU"/>
        </w:rPr>
        <w:t xml:space="preserve">, </w:t>
      </w:r>
      <w:r w:rsidR="000D5BA8" w:rsidRPr="000D5BA8">
        <w:rPr>
          <w:color w:val="000000" w:themeColor="text1"/>
          <w:sz w:val="22"/>
          <w:szCs w:val="22"/>
          <w:lang w:val="ru-RU"/>
        </w:rPr>
        <w:t xml:space="preserve">соображения, связанные с экологическими, социальными рисками и рисками в области корпоративного управления, обусловливают проведение оценки с целью установления того, произошло ли значительное снижение рыночной стоимости </w:t>
      </w:r>
      <w:r w:rsidR="000D5BA8">
        <w:rPr>
          <w:color w:val="000000" w:themeColor="text1"/>
          <w:sz w:val="22"/>
          <w:szCs w:val="22"/>
          <w:lang w:val="ru-RU"/>
        </w:rPr>
        <w:t>реальной гарантии</w:t>
      </w:r>
      <w:r w:rsidR="004B6508" w:rsidRPr="00884D1F">
        <w:rPr>
          <w:color w:val="000000" w:themeColor="text1"/>
          <w:sz w:val="22"/>
          <w:szCs w:val="22"/>
          <w:lang w:val="ro-MD"/>
        </w:rPr>
        <w:t>;</w:t>
      </w:r>
      <w:r w:rsidR="000D5BA8">
        <w:rPr>
          <w:color w:val="000000" w:themeColor="text1"/>
          <w:sz w:val="22"/>
          <w:szCs w:val="22"/>
          <w:lang w:val="ru-RU"/>
        </w:rPr>
        <w:t>»</w:t>
      </w:r>
      <w:r w:rsidR="004B6508" w:rsidRPr="00884D1F">
        <w:rPr>
          <w:color w:val="000000" w:themeColor="text1"/>
          <w:sz w:val="22"/>
          <w:szCs w:val="22"/>
          <w:lang w:val="ro-MD"/>
        </w:rPr>
        <w:t>.</w:t>
      </w:r>
    </w:p>
    <w:p w14:paraId="205494D5" w14:textId="54078B38" w:rsidR="004B6508" w:rsidRPr="00B16EA5" w:rsidRDefault="001F257A" w:rsidP="00D515E4">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B16EA5">
        <w:rPr>
          <w:color w:val="000000" w:themeColor="text1"/>
          <w:sz w:val="22"/>
          <w:szCs w:val="22"/>
          <w:lang w:val="ru-RU"/>
        </w:rPr>
        <w:t>Дополнить пунктом</w:t>
      </w:r>
      <w:r w:rsidR="004B6508" w:rsidRPr="00B16EA5">
        <w:rPr>
          <w:color w:val="000000" w:themeColor="text1"/>
          <w:sz w:val="22"/>
          <w:szCs w:val="22"/>
          <w:lang w:val="ru-RU"/>
        </w:rPr>
        <w:t xml:space="preserve"> 5</w:t>
      </w:r>
      <w:r w:rsidR="00AF0AFE" w:rsidRPr="00B16EA5">
        <w:rPr>
          <w:color w:val="000000" w:themeColor="text1"/>
          <w:sz w:val="22"/>
          <w:szCs w:val="22"/>
          <w:lang w:val="ru-RU"/>
        </w:rPr>
        <w:t>0</w:t>
      </w:r>
      <w:r w:rsidR="004B6508" w:rsidRPr="00B16EA5">
        <w:rPr>
          <w:color w:val="000000" w:themeColor="text1"/>
          <w:sz w:val="22"/>
          <w:szCs w:val="22"/>
          <w:vertAlign w:val="superscript"/>
          <w:lang w:val="ru-RU"/>
        </w:rPr>
        <w:t>1</w:t>
      </w:r>
      <w:r w:rsidR="004B6508" w:rsidRPr="00B16EA5">
        <w:rPr>
          <w:color w:val="000000" w:themeColor="text1"/>
          <w:sz w:val="22"/>
          <w:szCs w:val="22"/>
          <w:lang w:val="ru-RU"/>
        </w:rPr>
        <w:t xml:space="preserve"> </w:t>
      </w:r>
      <w:r w:rsidRPr="00B16EA5">
        <w:rPr>
          <w:color w:val="000000" w:themeColor="text1"/>
          <w:sz w:val="22"/>
          <w:szCs w:val="22"/>
          <w:lang w:val="ru-RU"/>
        </w:rPr>
        <w:t>следующего содержания</w:t>
      </w:r>
      <w:r w:rsidR="004B6508" w:rsidRPr="00B16EA5">
        <w:rPr>
          <w:color w:val="000000" w:themeColor="text1"/>
          <w:sz w:val="22"/>
          <w:szCs w:val="22"/>
          <w:lang w:val="ru-RU"/>
        </w:rPr>
        <w:t>:</w:t>
      </w:r>
    </w:p>
    <w:p w14:paraId="0C87B2D5" w14:textId="762C08F8" w:rsidR="004B6508" w:rsidRPr="00B16EA5" w:rsidRDefault="001F257A" w:rsidP="003533CA">
      <w:pPr>
        <w:tabs>
          <w:tab w:val="left" w:pos="567"/>
        </w:tabs>
        <w:jc w:val="both"/>
        <w:rPr>
          <w:color w:val="000000" w:themeColor="text1"/>
          <w:sz w:val="22"/>
          <w:szCs w:val="22"/>
          <w:lang w:val="ru-RU"/>
        </w:rPr>
      </w:pPr>
      <w:r w:rsidRPr="00B16EA5">
        <w:rPr>
          <w:b/>
          <w:bCs/>
          <w:color w:val="000000" w:themeColor="text1"/>
          <w:sz w:val="22"/>
          <w:szCs w:val="22"/>
          <w:lang w:val="ru-RU" w:eastAsia="ro-MD"/>
        </w:rPr>
        <w:t>«</w:t>
      </w:r>
      <w:r w:rsidR="004B6508" w:rsidRPr="00B16EA5">
        <w:rPr>
          <w:b/>
          <w:bCs/>
          <w:color w:val="000000" w:themeColor="text1"/>
          <w:sz w:val="22"/>
          <w:szCs w:val="22"/>
          <w:lang w:val="ru-RU" w:eastAsia="ro-MD"/>
        </w:rPr>
        <w:t>5</w:t>
      </w:r>
      <w:r w:rsidR="00AF0AFE" w:rsidRPr="00B16EA5">
        <w:rPr>
          <w:b/>
          <w:bCs/>
          <w:color w:val="000000" w:themeColor="text1"/>
          <w:sz w:val="22"/>
          <w:szCs w:val="22"/>
          <w:lang w:val="ru-RU" w:eastAsia="ro-MD"/>
        </w:rPr>
        <w:t>0</w:t>
      </w:r>
      <w:r w:rsidR="004B6508" w:rsidRPr="00B16EA5">
        <w:rPr>
          <w:b/>
          <w:bCs/>
          <w:color w:val="000000" w:themeColor="text1"/>
          <w:sz w:val="22"/>
          <w:szCs w:val="22"/>
          <w:vertAlign w:val="superscript"/>
          <w:lang w:val="ru-RU" w:eastAsia="ro-MD"/>
        </w:rPr>
        <w:t>1</w:t>
      </w:r>
      <w:r w:rsidR="004B6508" w:rsidRPr="00B16EA5">
        <w:rPr>
          <w:b/>
          <w:bCs/>
          <w:color w:val="000000" w:themeColor="text1"/>
          <w:sz w:val="22"/>
          <w:szCs w:val="22"/>
          <w:lang w:val="ru-RU" w:eastAsia="ro-MD"/>
        </w:rPr>
        <w:t>.</w:t>
      </w:r>
      <w:r w:rsidR="004B6508" w:rsidRPr="00B16EA5">
        <w:rPr>
          <w:color w:val="000000" w:themeColor="text1"/>
          <w:sz w:val="22"/>
          <w:szCs w:val="22"/>
          <w:lang w:val="ru-RU" w:eastAsia="ro-MD"/>
        </w:rPr>
        <w:t xml:space="preserve"> </w:t>
      </w:r>
      <w:r w:rsidR="00621752" w:rsidRPr="00B16EA5">
        <w:rPr>
          <w:color w:val="000000" w:themeColor="text1"/>
          <w:sz w:val="22"/>
          <w:szCs w:val="22"/>
          <w:lang w:val="ru-RU" w:eastAsia="ro-MD"/>
        </w:rPr>
        <w:t>Недвижимое имущество считается приемлемыми реальными гарантиями только в том случае, если соблюдены все требования, предусмотренные в приложении № 2 к Регламенту № 111/2018.».</w:t>
      </w:r>
    </w:p>
    <w:p w14:paraId="4374C3B4" w14:textId="03066BB5" w:rsidR="00AF0AFE" w:rsidRPr="00B16EA5" w:rsidRDefault="00621752" w:rsidP="008F595B">
      <w:pPr>
        <w:pStyle w:val="ListParagraph"/>
        <w:numPr>
          <w:ilvl w:val="1"/>
          <w:numId w:val="27"/>
        </w:numPr>
        <w:tabs>
          <w:tab w:val="left" w:pos="567"/>
        </w:tabs>
        <w:spacing w:before="80"/>
        <w:ind w:left="0" w:firstLine="567"/>
        <w:jc w:val="both"/>
        <w:rPr>
          <w:color w:val="000000" w:themeColor="text1"/>
          <w:sz w:val="22"/>
          <w:szCs w:val="22"/>
          <w:lang w:val="ru-RU"/>
        </w:rPr>
      </w:pPr>
      <w:r w:rsidRPr="00B16EA5">
        <w:rPr>
          <w:color w:val="000000" w:themeColor="text1"/>
          <w:sz w:val="22"/>
          <w:szCs w:val="22"/>
          <w:lang w:val="ru-RU"/>
        </w:rPr>
        <w:t>Главу</w:t>
      </w:r>
      <w:r w:rsidR="00AF0AFE" w:rsidRPr="00B16EA5">
        <w:rPr>
          <w:color w:val="000000" w:themeColor="text1"/>
          <w:sz w:val="22"/>
          <w:szCs w:val="22"/>
          <w:lang w:val="ru-RU"/>
        </w:rPr>
        <w:t xml:space="preserve"> VI </w:t>
      </w:r>
      <w:r w:rsidRPr="00B16EA5">
        <w:rPr>
          <w:color w:val="000000" w:themeColor="text1"/>
          <w:sz w:val="22"/>
          <w:szCs w:val="22"/>
          <w:lang w:val="ru-RU"/>
        </w:rPr>
        <w:t>дополнить частями</w:t>
      </w:r>
      <w:r w:rsidR="00AF0AFE" w:rsidRPr="00B16EA5">
        <w:rPr>
          <w:color w:val="000000" w:themeColor="text1"/>
          <w:sz w:val="22"/>
          <w:szCs w:val="22"/>
          <w:lang w:val="ru-RU"/>
        </w:rPr>
        <w:t xml:space="preserve"> 2</w:t>
      </w:r>
      <w:r w:rsidR="00AF0AFE" w:rsidRPr="00B16EA5">
        <w:rPr>
          <w:color w:val="000000" w:themeColor="text1"/>
          <w:sz w:val="22"/>
          <w:szCs w:val="22"/>
          <w:vertAlign w:val="superscript"/>
          <w:lang w:val="ru-RU"/>
        </w:rPr>
        <w:t>1</w:t>
      </w:r>
      <w:r w:rsidR="00AF0AFE" w:rsidRPr="00B16EA5">
        <w:rPr>
          <w:color w:val="000000" w:themeColor="text1"/>
          <w:sz w:val="22"/>
          <w:szCs w:val="22"/>
          <w:lang w:val="ru-RU"/>
        </w:rPr>
        <w:t xml:space="preserve"> </w:t>
      </w:r>
      <w:r w:rsidRPr="00B16EA5">
        <w:rPr>
          <w:color w:val="000000" w:themeColor="text1"/>
          <w:sz w:val="22"/>
          <w:szCs w:val="22"/>
          <w:lang w:val="ru-RU"/>
        </w:rPr>
        <w:t>и</w:t>
      </w:r>
      <w:r w:rsidR="00AF0AFE" w:rsidRPr="00B16EA5">
        <w:rPr>
          <w:color w:val="000000" w:themeColor="text1"/>
          <w:sz w:val="22"/>
          <w:szCs w:val="22"/>
          <w:lang w:val="ru-RU"/>
        </w:rPr>
        <w:t xml:space="preserve"> 2</w:t>
      </w:r>
      <w:r w:rsidR="00AF0AFE" w:rsidRPr="00B16EA5">
        <w:rPr>
          <w:color w:val="000000" w:themeColor="text1"/>
          <w:sz w:val="22"/>
          <w:szCs w:val="22"/>
          <w:vertAlign w:val="superscript"/>
          <w:lang w:val="ru-RU"/>
        </w:rPr>
        <w:t>2</w:t>
      </w:r>
      <w:r w:rsidR="00AF0AFE" w:rsidRPr="00B16EA5">
        <w:rPr>
          <w:color w:val="000000" w:themeColor="text1"/>
          <w:sz w:val="22"/>
          <w:szCs w:val="22"/>
          <w:lang w:val="ru-RU"/>
        </w:rPr>
        <w:t xml:space="preserve"> </w:t>
      </w:r>
      <w:r w:rsidR="001F257A" w:rsidRPr="00B16EA5">
        <w:rPr>
          <w:color w:val="000000" w:themeColor="text1"/>
          <w:sz w:val="22"/>
          <w:szCs w:val="22"/>
          <w:lang w:val="ru-RU"/>
        </w:rPr>
        <w:t>следующего содержания</w:t>
      </w:r>
      <w:r w:rsidR="00AF0AFE" w:rsidRPr="00B16EA5">
        <w:rPr>
          <w:color w:val="000000" w:themeColor="text1"/>
          <w:sz w:val="22"/>
          <w:szCs w:val="22"/>
          <w:lang w:val="ru-RU"/>
        </w:rPr>
        <w:t>:</w:t>
      </w:r>
    </w:p>
    <w:p w14:paraId="064287DF" w14:textId="34286326" w:rsidR="00962019" w:rsidRPr="00884D1F" w:rsidRDefault="00621752" w:rsidP="00962019">
      <w:pPr>
        <w:jc w:val="center"/>
        <w:rPr>
          <w:color w:val="000000" w:themeColor="text1"/>
          <w:sz w:val="22"/>
          <w:szCs w:val="22"/>
          <w:lang w:val="ro-RO" w:eastAsia="ro-MD"/>
        </w:rPr>
      </w:pPr>
      <w:r w:rsidRPr="00621752">
        <w:rPr>
          <w:b/>
          <w:bCs/>
          <w:i/>
          <w:iCs/>
          <w:color w:val="000000" w:themeColor="text1"/>
          <w:sz w:val="22"/>
          <w:szCs w:val="22"/>
          <w:lang w:val="ru-RU"/>
        </w:rPr>
        <w:t>«Часть</w:t>
      </w:r>
      <w:r w:rsidR="00962019" w:rsidRPr="00884D1F">
        <w:rPr>
          <w:b/>
          <w:bCs/>
          <w:i/>
          <w:iCs/>
          <w:color w:val="000000" w:themeColor="text1"/>
          <w:sz w:val="22"/>
          <w:szCs w:val="22"/>
          <w:lang w:val="ro-RO" w:eastAsia="ro-MD"/>
        </w:rPr>
        <w:t xml:space="preserve"> 2</w:t>
      </w:r>
      <w:r w:rsidR="00962019" w:rsidRPr="00884D1F">
        <w:rPr>
          <w:b/>
          <w:bCs/>
          <w:i/>
          <w:iCs/>
          <w:color w:val="000000" w:themeColor="text1"/>
          <w:sz w:val="22"/>
          <w:szCs w:val="22"/>
          <w:vertAlign w:val="superscript"/>
          <w:lang w:val="ro-RO" w:eastAsia="ro-MD"/>
        </w:rPr>
        <w:t>1</w:t>
      </w:r>
    </w:p>
    <w:p w14:paraId="416330E8" w14:textId="7FCABF8F" w:rsidR="00962019" w:rsidRPr="00884D1F" w:rsidRDefault="00962019" w:rsidP="00962019">
      <w:pPr>
        <w:jc w:val="center"/>
        <w:rPr>
          <w:color w:val="000000" w:themeColor="text1"/>
          <w:sz w:val="22"/>
          <w:szCs w:val="22"/>
          <w:lang w:val="ro-RO" w:eastAsia="ro-MD"/>
        </w:rPr>
      </w:pPr>
      <w:r w:rsidRPr="00884D1F">
        <w:rPr>
          <w:b/>
          <w:bCs/>
          <w:i/>
          <w:iCs/>
          <w:color w:val="000000" w:themeColor="text1"/>
          <w:sz w:val="22"/>
          <w:szCs w:val="22"/>
          <w:lang w:val="ro-RO" w:eastAsia="ro-MD"/>
        </w:rPr>
        <w:t> </w:t>
      </w:r>
      <w:r w:rsidR="00B16EA5">
        <w:rPr>
          <w:b/>
          <w:bCs/>
          <w:i/>
          <w:iCs/>
          <w:color w:val="000000" w:themeColor="text1"/>
          <w:sz w:val="22"/>
          <w:szCs w:val="22"/>
          <w:lang w:val="ru-RU" w:eastAsia="ro-MD"/>
        </w:rPr>
        <w:t>Требования к долговым обязательствам</w:t>
      </w:r>
    </w:p>
    <w:p w14:paraId="15580548" w14:textId="582E1069" w:rsidR="00962019" w:rsidRPr="00456CAA" w:rsidRDefault="00962019" w:rsidP="00962019">
      <w:pPr>
        <w:jc w:val="both"/>
        <w:rPr>
          <w:color w:val="000000" w:themeColor="text1"/>
          <w:sz w:val="22"/>
          <w:szCs w:val="22"/>
          <w:lang w:val="ru-MD" w:eastAsia="ro-MD"/>
        </w:rPr>
      </w:pPr>
      <w:r w:rsidRPr="00456CAA">
        <w:rPr>
          <w:b/>
          <w:bCs/>
          <w:color w:val="000000" w:themeColor="text1"/>
          <w:sz w:val="22"/>
          <w:szCs w:val="22"/>
          <w:lang w:val="ru-MD" w:eastAsia="ro-MD"/>
        </w:rPr>
        <w:t>50</w:t>
      </w:r>
      <w:r w:rsidRPr="00456CAA">
        <w:rPr>
          <w:b/>
          <w:bCs/>
          <w:color w:val="000000" w:themeColor="text1"/>
          <w:sz w:val="22"/>
          <w:szCs w:val="22"/>
          <w:vertAlign w:val="superscript"/>
          <w:lang w:val="ru-MD" w:eastAsia="ro-MD"/>
        </w:rPr>
        <w:t>2</w:t>
      </w:r>
      <w:r w:rsidRPr="00456CAA">
        <w:rPr>
          <w:b/>
          <w:bCs/>
          <w:color w:val="000000" w:themeColor="text1"/>
          <w:sz w:val="22"/>
          <w:szCs w:val="22"/>
          <w:lang w:val="ru-MD" w:eastAsia="ro-MD"/>
        </w:rPr>
        <w:t>.</w:t>
      </w:r>
      <w:r w:rsidRPr="00456CAA">
        <w:rPr>
          <w:color w:val="000000" w:themeColor="text1"/>
          <w:sz w:val="22"/>
          <w:szCs w:val="22"/>
          <w:lang w:val="ru-MD" w:eastAsia="ro-MD"/>
        </w:rPr>
        <w:t xml:space="preserve"> </w:t>
      </w:r>
      <w:r w:rsidR="00670CE2" w:rsidRPr="00456CAA">
        <w:rPr>
          <w:color w:val="000000" w:themeColor="text1"/>
          <w:sz w:val="22"/>
          <w:szCs w:val="22"/>
          <w:lang w:val="ru-MD" w:eastAsia="ro-MD"/>
        </w:rPr>
        <w:t>Требования считаются приемлемым вещным обеспечением, если совокупно выполняются требования, предусмотренные в пунктах</w:t>
      </w:r>
      <w:r w:rsidRPr="00456CAA">
        <w:rPr>
          <w:color w:val="000000" w:themeColor="text1"/>
          <w:sz w:val="22"/>
          <w:szCs w:val="22"/>
          <w:lang w:val="ru-MD" w:eastAsia="ro-MD"/>
        </w:rPr>
        <w:t xml:space="preserve"> 5</w:t>
      </w:r>
      <w:r w:rsidR="00F863E6" w:rsidRPr="00456CAA">
        <w:rPr>
          <w:color w:val="000000" w:themeColor="text1"/>
          <w:sz w:val="22"/>
          <w:szCs w:val="22"/>
          <w:lang w:val="ru-MD" w:eastAsia="ro-MD"/>
        </w:rPr>
        <w:t>0</w:t>
      </w:r>
      <w:r w:rsidRPr="00456CAA">
        <w:rPr>
          <w:color w:val="000000" w:themeColor="text1"/>
          <w:sz w:val="22"/>
          <w:szCs w:val="22"/>
          <w:vertAlign w:val="superscript"/>
          <w:lang w:val="ru-MD" w:eastAsia="ro-MD"/>
        </w:rPr>
        <w:t>3</w:t>
      </w:r>
      <w:r w:rsidRPr="00456CAA">
        <w:rPr>
          <w:color w:val="000000" w:themeColor="text1"/>
          <w:sz w:val="22"/>
          <w:szCs w:val="22"/>
          <w:lang w:val="ru-MD" w:eastAsia="ro-MD"/>
        </w:rPr>
        <w:t xml:space="preserve"> </w:t>
      </w:r>
      <w:r w:rsidR="00670CE2" w:rsidRPr="00456CAA">
        <w:rPr>
          <w:color w:val="000000" w:themeColor="text1"/>
          <w:sz w:val="22"/>
          <w:szCs w:val="22"/>
          <w:lang w:val="ru-MD" w:eastAsia="ro-MD"/>
        </w:rPr>
        <w:t>и</w:t>
      </w:r>
      <w:r w:rsidRPr="00456CAA">
        <w:rPr>
          <w:color w:val="000000" w:themeColor="text1"/>
          <w:sz w:val="22"/>
          <w:szCs w:val="22"/>
          <w:lang w:val="ru-MD" w:eastAsia="ro-MD"/>
        </w:rPr>
        <w:t xml:space="preserve"> 5</w:t>
      </w:r>
      <w:r w:rsidR="00F863E6" w:rsidRPr="00456CAA">
        <w:rPr>
          <w:color w:val="000000" w:themeColor="text1"/>
          <w:sz w:val="22"/>
          <w:szCs w:val="22"/>
          <w:lang w:val="ru-MD" w:eastAsia="ro-MD"/>
        </w:rPr>
        <w:t>0</w:t>
      </w:r>
      <w:r w:rsidRPr="00456CAA">
        <w:rPr>
          <w:color w:val="000000" w:themeColor="text1"/>
          <w:sz w:val="22"/>
          <w:szCs w:val="22"/>
          <w:vertAlign w:val="superscript"/>
          <w:lang w:val="ru-MD" w:eastAsia="ro-MD"/>
        </w:rPr>
        <w:t>4</w:t>
      </w:r>
      <w:r w:rsidRPr="00456CAA">
        <w:rPr>
          <w:color w:val="000000" w:themeColor="text1"/>
          <w:sz w:val="22"/>
          <w:szCs w:val="22"/>
          <w:lang w:val="ru-MD" w:eastAsia="ro-MD"/>
        </w:rPr>
        <w:t>.</w:t>
      </w:r>
    </w:p>
    <w:p w14:paraId="6CCF5C31" w14:textId="3BEBB8B4" w:rsidR="00962019" w:rsidRPr="00456CAA" w:rsidRDefault="00962019" w:rsidP="00962019">
      <w:pPr>
        <w:jc w:val="both"/>
        <w:rPr>
          <w:color w:val="000000" w:themeColor="text1"/>
          <w:sz w:val="22"/>
          <w:szCs w:val="22"/>
          <w:lang w:val="ru-MD" w:eastAsia="ro-MD"/>
        </w:rPr>
      </w:pPr>
      <w:r w:rsidRPr="00456CAA">
        <w:rPr>
          <w:b/>
          <w:bCs/>
          <w:color w:val="000000" w:themeColor="text1"/>
          <w:sz w:val="22"/>
          <w:szCs w:val="22"/>
          <w:lang w:val="ru-MD" w:eastAsia="ro-MD"/>
        </w:rPr>
        <w:t>50</w:t>
      </w:r>
      <w:r w:rsidRPr="00456CAA">
        <w:rPr>
          <w:b/>
          <w:bCs/>
          <w:color w:val="000000" w:themeColor="text1"/>
          <w:sz w:val="22"/>
          <w:szCs w:val="22"/>
          <w:vertAlign w:val="superscript"/>
          <w:lang w:val="ru-MD" w:eastAsia="ro-MD"/>
        </w:rPr>
        <w:t>3</w:t>
      </w:r>
      <w:r w:rsidRPr="00456CAA">
        <w:rPr>
          <w:b/>
          <w:bCs/>
          <w:color w:val="000000" w:themeColor="text1"/>
          <w:sz w:val="22"/>
          <w:szCs w:val="22"/>
          <w:lang w:val="ru-MD" w:eastAsia="ro-MD"/>
        </w:rPr>
        <w:t>.</w:t>
      </w:r>
      <w:r w:rsidRPr="00456CAA">
        <w:rPr>
          <w:color w:val="000000" w:themeColor="text1"/>
          <w:sz w:val="22"/>
          <w:szCs w:val="22"/>
          <w:lang w:val="ru-MD" w:eastAsia="ro-MD"/>
        </w:rPr>
        <w:t xml:space="preserve"> </w:t>
      </w:r>
      <w:r w:rsidR="00E8691B" w:rsidRPr="00456CAA">
        <w:rPr>
          <w:color w:val="000000" w:themeColor="text1"/>
          <w:sz w:val="22"/>
          <w:szCs w:val="22"/>
          <w:lang w:val="ru-MD" w:eastAsia="ro-MD"/>
        </w:rPr>
        <w:t>Должны быть выполнены следующие требования в отношении правовой безопасности</w:t>
      </w:r>
      <w:r w:rsidRPr="00456CAA">
        <w:rPr>
          <w:color w:val="000000" w:themeColor="text1"/>
          <w:sz w:val="22"/>
          <w:szCs w:val="22"/>
          <w:lang w:val="ru-MD" w:eastAsia="ro-MD"/>
        </w:rPr>
        <w:t>:</w:t>
      </w:r>
    </w:p>
    <w:p w14:paraId="6A10B71D" w14:textId="254B3B1E" w:rsidR="00962019" w:rsidRPr="00456CAA" w:rsidRDefault="00962019" w:rsidP="00962019">
      <w:pPr>
        <w:ind w:firstLine="567"/>
        <w:jc w:val="both"/>
        <w:rPr>
          <w:color w:val="000000" w:themeColor="text1"/>
          <w:sz w:val="22"/>
          <w:szCs w:val="22"/>
          <w:lang w:val="ru-MD" w:eastAsia="ro-MD"/>
        </w:rPr>
      </w:pPr>
      <w:r w:rsidRPr="00456CAA">
        <w:rPr>
          <w:color w:val="000000" w:themeColor="text1"/>
          <w:sz w:val="22"/>
          <w:szCs w:val="22"/>
          <w:lang w:val="ru-MD" w:eastAsia="ro-MD"/>
        </w:rPr>
        <w:t xml:space="preserve">1) </w:t>
      </w:r>
      <w:r w:rsidR="00E8691B" w:rsidRPr="00456CAA">
        <w:rPr>
          <w:color w:val="000000" w:themeColor="text1"/>
          <w:sz w:val="22"/>
          <w:szCs w:val="22"/>
          <w:lang w:val="ru-MD" w:eastAsia="ro-MD"/>
        </w:rPr>
        <w:t xml:space="preserve">правовой механизм, посредством которого </w:t>
      </w:r>
      <w:r w:rsidR="005C35B0">
        <w:rPr>
          <w:color w:val="000000" w:themeColor="text1"/>
          <w:sz w:val="22"/>
          <w:szCs w:val="22"/>
          <w:lang w:val="ru-MD" w:eastAsia="ro-MD"/>
        </w:rPr>
        <w:t>реальное</w:t>
      </w:r>
      <w:r w:rsidR="00E8691B" w:rsidRPr="00456CAA">
        <w:rPr>
          <w:color w:val="000000" w:themeColor="text1"/>
          <w:sz w:val="22"/>
          <w:szCs w:val="22"/>
          <w:lang w:val="ru-MD" w:eastAsia="ro-MD"/>
        </w:rPr>
        <w:t xml:space="preserve"> обеспечение предоставляется кредитующему банку, должен быть надежным и эффективным и обеспечивать наличие четких прав данного банка в отношении вещного обеспечения, включая право на поступления от продажи вещного обеспечения</w:t>
      </w:r>
      <w:r w:rsidRPr="00456CAA">
        <w:rPr>
          <w:color w:val="000000" w:themeColor="text1"/>
          <w:sz w:val="22"/>
          <w:szCs w:val="22"/>
          <w:lang w:val="ru-MD" w:eastAsia="ro-MD"/>
        </w:rPr>
        <w:t>;</w:t>
      </w:r>
    </w:p>
    <w:p w14:paraId="1E4DC25B" w14:textId="38285913" w:rsidR="00962019" w:rsidRPr="00456CAA" w:rsidRDefault="00962019" w:rsidP="00962019">
      <w:pPr>
        <w:ind w:firstLine="567"/>
        <w:jc w:val="both"/>
        <w:rPr>
          <w:color w:val="000000" w:themeColor="text1"/>
          <w:sz w:val="22"/>
          <w:szCs w:val="22"/>
          <w:lang w:val="ru-MD" w:eastAsia="ro-MD"/>
        </w:rPr>
      </w:pPr>
      <w:r w:rsidRPr="00456CAA">
        <w:rPr>
          <w:color w:val="000000" w:themeColor="text1"/>
          <w:sz w:val="22"/>
          <w:szCs w:val="22"/>
          <w:lang w:val="ru-MD" w:eastAsia="ro-MD"/>
        </w:rPr>
        <w:t xml:space="preserve">2) </w:t>
      </w:r>
      <w:r w:rsidR="00E8691B" w:rsidRPr="00456CAA">
        <w:rPr>
          <w:color w:val="000000" w:themeColor="text1"/>
          <w:sz w:val="22"/>
          <w:szCs w:val="22"/>
          <w:lang w:val="ru-MD" w:eastAsia="ro-MD"/>
        </w:rPr>
        <w:t>банки должны принимать все необходимые меры для выполнения требований в отношении исполнимости вещного обеспечения</w:t>
      </w:r>
      <w:r w:rsidR="00F96223" w:rsidRPr="00F96223">
        <w:rPr>
          <w:color w:val="000000" w:themeColor="text1"/>
          <w:sz w:val="22"/>
          <w:szCs w:val="22"/>
          <w:lang w:val="ru-MD" w:eastAsia="ro-MD"/>
        </w:rPr>
        <w:t xml:space="preserve"> во всех соответствующих юрисдикциях</w:t>
      </w:r>
      <w:r w:rsidR="00E8691B" w:rsidRPr="00456CAA">
        <w:rPr>
          <w:color w:val="000000" w:themeColor="text1"/>
          <w:sz w:val="22"/>
          <w:szCs w:val="22"/>
          <w:lang w:val="ru-MD" w:eastAsia="ro-MD"/>
        </w:rPr>
        <w:t xml:space="preserve">. Кредиторские банки должны обладать приоритетным правом первого ранга на </w:t>
      </w:r>
      <w:r w:rsidR="005C35B0">
        <w:rPr>
          <w:color w:val="000000" w:themeColor="text1"/>
          <w:sz w:val="22"/>
          <w:szCs w:val="22"/>
          <w:lang w:val="ru-MD" w:eastAsia="ro-MD"/>
        </w:rPr>
        <w:t>реальное</w:t>
      </w:r>
      <w:r w:rsidR="00E8691B" w:rsidRPr="00456CAA">
        <w:rPr>
          <w:color w:val="000000" w:themeColor="text1"/>
          <w:sz w:val="22"/>
          <w:szCs w:val="22"/>
          <w:lang w:val="ru-MD" w:eastAsia="ro-MD"/>
        </w:rPr>
        <w:t xml:space="preserve"> обеспечение, хотя такие права могут быть подчинены правам привилегированных кредиторов, </w:t>
      </w:r>
      <w:r w:rsidR="00F96223" w:rsidRPr="00F96223">
        <w:rPr>
          <w:color w:val="000000" w:themeColor="text1"/>
          <w:sz w:val="22"/>
          <w:szCs w:val="22"/>
          <w:lang w:val="ru-MD" w:eastAsia="ro-MD"/>
        </w:rPr>
        <w:t>предусмотренным действующим законодательством;</w:t>
      </w:r>
    </w:p>
    <w:p w14:paraId="2825E956" w14:textId="6BF5B4EA" w:rsidR="00962019" w:rsidRPr="00456CAA" w:rsidRDefault="00962019" w:rsidP="00962019">
      <w:pPr>
        <w:ind w:firstLine="567"/>
        <w:jc w:val="both"/>
        <w:rPr>
          <w:color w:val="000000" w:themeColor="text1"/>
          <w:sz w:val="22"/>
          <w:szCs w:val="22"/>
          <w:lang w:val="ru-MD" w:eastAsia="ro-MD"/>
        </w:rPr>
      </w:pPr>
      <w:r w:rsidRPr="00456CAA">
        <w:rPr>
          <w:color w:val="000000" w:themeColor="text1"/>
          <w:sz w:val="22"/>
          <w:szCs w:val="22"/>
          <w:lang w:val="ru-MD" w:eastAsia="ro-MD"/>
        </w:rPr>
        <w:t xml:space="preserve">3) </w:t>
      </w:r>
      <w:r w:rsidR="002544D5" w:rsidRPr="00456CAA">
        <w:rPr>
          <w:color w:val="000000" w:themeColor="text1"/>
          <w:sz w:val="22"/>
          <w:szCs w:val="22"/>
          <w:lang w:val="ru-MD" w:eastAsia="ro-MD"/>
        </w:rPr>
        <w:t>банки должны провести юридическую экспертизу, достаточную для подтверждения исполнимости договоров о вещном обеспечении во всех соответствующих юрисдикциях</w:t>
      </w:r>
      <w:r w:rsidRPr="00456CAA">
        <w:rPr>
          <w:color w:val="000000" w:themeColor="text1"/>
          <w:sz w:val="22"/>
          <w:szCs w:val="22"/>
          <w:lang w:val="ru-MD" w:eastAsia="ro-MD"/>
        </w:rPr>
        <w:t>;</w:t>
      </w:r>
    </w:p>
    <w:p w14:paraId="51755EA2" w14:textId="034E11F4" w:rsidR="00962019" w:rsidRPr="00456CAA" w:rsidRDefault="00962019" w:rsidP="00962019">
      <w:pPr>
        <w:ind w:firstLine="567"/>
        <w:jc w:val="both"/>
        <w:rPr>
          <w:color w:val="000000" w:themeColor="text1"/>
          <w:sz w:val="22"/>
          <w:szCs w:val="22"/>
          <w:lang w:val="ru-MD" w:eastAsia="ro-MD"/>
        </w:rPr>
      </w:pPr>
      <w:r w:rsidRPr="00456CAA">
        <w:rPr>
          <w:color w:val="000000" w:themeColor="text1"/>
          <w:sz w:val="22"/>
          <w:szCs w:val="22"/>
          <w:lang w:val="ru-MD" w:eastAsia="ro-MD"/>
        </w:rPr>
        <w:t xml:space="preserve">4) </w:t>
      </w:r>
      <w:r w:rsidR="00456CAA" w:rsidRPr="00456CAA">
        <w:rPr>
          <w:color w:val="000000" w:themeColor="text1"/>
          <w:sz w:val="22"/>
          <w:szCs w:val="22"/>
          <w:lang w:val="ru-MD" w:eastAsia="ro-MD"/>
        </w:rPr>
        <w:t>банки должны надлежащим образом оформлять договоры о вещном обеспечении и располагать четкими и надежными процедурами для своевременного взыскания вещного обеспечения</w:t>
      </w:r>
      <w:r w:rsidRPr="00456CAA">
        <w:rPr>
          <w:color w:val="000000" w:themeColor="text1"/>
          <w:sz w:val="22"/>
          <w:szCs w:val="22"/>
          <w:lang w:val="ru-MD" w:eastAsia="ro-MD"/>
        </w:rPr>
        <w:t>;</w:t>
      </w:r>
    </w:p>
    <w:p w14:paraId="1EBC5741" w14:textId="48157B83" w:rsidR="00962019" w:rsidRPr="00456CAA" w:rsidRDefault="00962019" w:rsidP="00962019">
      <w:pPr>
        <w:ind w:firstLine="567"/>
        <w:jc w:val="both"/>
        <w:rPr>
          <w:color w:val="000000" w:themeColor="text1"/>
          <w:sz w:val="22"/>
          <w:szCs w:val="22"/>
          <w:lang w:val="ru-MD" w:eastAsia="ro-MD"/>
        </w:rPr>
      </w:pPr>
      <w:r w:rsidRPr="00456CAA">
        <w:rPr>
          <w:color w:val="000000" w:themeColor="text1"/>
          <w:sz w:val="22"/>
          <w:szCs w:val="22"/>
          <w:lang w:val="ru-MD" w:eastAsia="ro-MD"/>
        </w:rPr>
        <w:t xml:space="preserve">5) </w:t>
      </w:r>
      <w:r w:rsidR="00456CAA" w:rsidRPr="00456CAA">
        <w:rPr>
          <w:color w:val="000000" w:themeColor="text1"/>
          <w:sz w:val="22"/>
          <w:szCs w:val="22"/>
          <w:lang w:val="ru-MD" w:eastAsia="ro-MD"/>
        </w:rPr>
        <w:t>банки должны располагать процедурами, обеспечивающими соблюдение всех юридических условий, необходимых для объявления кредита неработоспособным и своевременного взыскания вещного обеспечения</w:t>
      </w:r>
      <w:r w:rsidRPr="00456CAA">
        <w:rPr>
          <w:color w:val="000000" w:themeColor="text1"/>
          <w:sz w:val="22"/>
          <w:szCs w:val="22"/>
          <w:lang w:val="ru-MD" w:eastAsia="ro-MD"/>
        </w:rPr>
        <w:t>;</w:t>
      </w:r>
    </w:p>
    <w:p w14:paraId="3A6C0964" w14:textId="42B2943F" w:rsidR="00962019" w:rsidRPr="00456CAA" w:rsidRDefault="00962019" w:rsidP="00962019">
      <w:pPr>
        <w:ind w:firstLine="567"/>
        <w:jc w:val="both"/>
        <w:rPr>
          <w:color w:val="000000" w:themeColor="text1"/>
          <w:sz w:val="22"/>
          <w:szCs w:val="22"/>
          <w:lang w:val="ru-MD" w:eastAsia="ro-MD"/>
        </w:rPr>
      </w:pPr>
      <w:r w:rsidRPr="00456CAA">
        <w:rPr>
          <w:color w:val="000000" w:themeColor="text1"/>
          <w:sz w:val="22"/>
          <w:szCs w:val="22"/>
          <w:lang w:val="ru-MD" w:eastAsia="ro-MD"/>
        </w:rPr>
        <w:t xml:space="preserve">6) </w:t>
      </w:r>
      <w:r w:rsidR="00456CAA" w:rsidRPr="00456CAA">
        <w:rPr>
          <w:color w:val="000000" w:themeColor="text1"/>
          <w:sz w:val="22"/>
          <w:szCs w:val="22"/>
          <w:lang w:val="ru-MD" w:eastAsia="ro-MD"/>
        </w:rPr>
        <w:t>в случае, если кредит испытывает финансовые затруднения или находится в состоянии невозврата, банки должны иметь законное право продавать или уступать требования другим сторонам без согласия уступаемых должников</w:t>
      </w:r>
      <w:r w:rsidRPr="00456CAA">
        <w:rPr>
          <w:color w:val="000000" w:themeColor="text1"/>
          <w:sz w:val="22"/>
          <w:szCs w:val="22"/>
          <w:lang w:val="ru-MD" w:eastAsia="ro-MD"/>
        </w:rPr>
        <w:t>.</w:t>
      </w:r>
    </w:p>
    <w:p w14:paraId="5DB124AE" w14:textId="42365ED4" w:rsidR="00962019" w:rsidRPr="00593818" w:rsidRDefault="00962019" w:rsidP="00962019">
      <w:pPr>
        <w:jc w:val="both"/>
        <w:rPr>
          <w:color w:val="000000" w:themeColor="text1"/>
          <w:sz w:val="22"/>
          <w:szCs w:val="22"/>
          <w:lang w:val="ru-RU" w:eastAsia="ro-MD"/>
        </w:rPr>
      </w:pPr>
      <w:r w:rsidRPr="00593818">
        <w:rPr>
          <w:b/>
          <w:bCs/>
          <w:color w:val="000000" w:themeColor="text1"/>
          <w:sz w:val="22"/>
          <w:szCs w:val="22"/>
          <w:lang w:val="ru-RU" w:eastAsia="ro-MD"/>
        </w:rPr>
        <w:t>50</w:t>
      </w:r>
      <w:r w:rsidRPr="00593818">
        <w:rPr>
          <w:b/>
          <w:bCs/>
          <w:color w:val="000000" w:themeColor="text1"/>
          <w:sz w:val="22"/>
          <w:szCs w:val="22"/>
          <w:vertAlign w:val="superscript"/>
          <w:lang w:val="ru-RU" w:eastAsia="ro-MD"/>
        </w:rPr>
        <w:t>4</w:t>
      </w:r>
      <w:r w:rsidRPr="00593818">
        <w:rPr>
          <w:b/>
          <w:bCs/>
          <w:color w:val="000000" w:themeColor="text1"/>
          <w:sz w:val="22"/>
          <w:szCs w:val="22"/>
          <w:lang w:val="ru-RU" w:eastAsia="ro-MD"/>
        </w:rPr>
        <w:t>.</w:t>
      </w:r>
      <w:r w:rsidRPr="00593818">
        <w:rPr>
          <w:color w:val="000000" w:themeColor="text1"/>
          <w:sz w:val="22"/>
          <w:szCs w:val="22"/>
          <w:lang w:val="ru-RU" w:eastAsia="ro-MD"/>
        </w:rPr>
        <w:t xml:space="preserve"> </w:t>
      </w:r>
      <w:r w:rsidR="00593818" w:rsidRPr="00593818">
        <w:rPr>
          <w:color w:val="000000" w:themeColor="text1"/>
          <w:sz w:val="22"/>
          <w:szCs w:val="22"/>
          <w:lang w:val="ru-RU" w:eastAsia="ro-MD"/>
        </w:rPr>
        <w:t>Должны соблюдаться следующие требования в отношении управления рисками</w:t>
      </w:r>
      <w:r w:rsidRPr="00593818">
        <w:rPr>
          <w:color w:val="000000" w:themeColor="text1"/>
          <w:sz w:val="22"/>
          <w:szCs w:val="22"/>
          <w:lang w:val="ru-RU" w:eastAsia="ro-MD"/>
        </w:rPr>
        <w:t>:</w:t>
      </w:r>
    </w:p>
    <w:p w14:paraId="6FD921DE" w14:textId="74EF2DF6" w:rsidR="00962019" w:rsidRPr="00593818" w:rsidRDefault="00962019" w:rsidP="00962019">
      <w:pPr>
        <w:ind w:firstLine="567"/>
        <w:jc w:val="both"/>
        <w:rPr>
          <w:color w:val="000000" w:themeColor="text1"/>
          <w:sz w:val="22"/>
          <w:szCs w:val="22"/>
          <w:lang w:val="ru-RU" w:eastAsia="ro-MD"/>
        </w:rPr>
      </w:pPr>
      <w:r w:rsidRPr="00593818">
        <w:rPr>
          <w:color w:val="000000" w:themeColor="text1"/>
          <w:sz w:val="22"/>
          <w:szCs w:val="22"/>
          <w:lang w:val="ru-RU" w:eastAsia="ro-MD"/>
        </w:rPr>
        <w:t xml:space="preserve">1) </w:t>
      </w:r>
      <w:r w:rsidR="00593818" w:rsidRPr="00593818">
        <w:rPr>
          <w:color w:val="000000" w:themeColor="text1"/>
          <w:sz w:val="22"/>
          <w:szCs w:val="22"/>
          <w:lang w:val="ru-RU" w:eastAsia="ro-MD"/>
        </w:rPr>
        <w:t xml:space="preserve">банк должен располагать тщательно разработанной процедурой определения кредитного риска, связанного с дебиторской задолженностью. Такая процедура должна включать анализ деятельности заемщика и сектора, в котором он осуществляет свою деятельность, а также типов клиентов, с которыми заемщик вступает в деловые отношения. Когда банк обращается к должникам </w:t>
      </w:r>
      <w:r w:rsidR="00593818" w:rsidRPr="00593818">
        <w:rPr>
          <w:color w:val="000000" w:themeColor="text1"/>
          <w:sz w:val="22"/>
          <w:szCs w:val="22"/>
          <w:lang w:val="ru-RU" w:eastAsia="ro-MD"/>
        </w:rPr>
        <w:lastRenderedPageBreak/>
        <w:t>для определения кредитного риска клиентов, он должен перепроверить кредитные практики должников, чтобы убедиться в их надежности и достоверности</w:t>
      </w:r>
      <w:r w:rsidRPr="00593818">
        <w:rPr>
          <w:color w:val="000000" w:themeColor="text1"/>
          <w:sz w:val="22"/>
          <w:szCs w:val="22"/>
          <w:lang w:val="ru-RU" w:eastAsia="ro-MD"/>
        </w:rPr>
        <w:t>;</w:t>
      </w:r>
    </w:p>
    <w:p w14:paraId="77F528BF" w14:textId="690BEA5B" w:rsidR="00962019" w:rsidRPr="00C660A8" w:rsidRDefault="00962019" w:rsidP="00962019">
      <w:pPr>
        <w:ind w:firstLine="567"/>
        <w:jc w:val="both"/>
        <w:rPr>
          <w:color w:val="000000" w:themeColor="text1"/>
          <w:sz w:val="22"/>
          <w:szCs w:val="22"/>
          <w:lang w:val="ru-MD" w:eastAsia="ro-MD"/>
        </w:rPr>
      </w:pPr>
      <w:r w:rsidRPr="00C660A8">
        <w:rPr>
          <w:color w:val="000000" w:themeColor="text1"/>
          <w:sz w:val="22"/>
          <w:szCs w:val="22"/>
          <w:lang w:val="ru-MD" w:eastAsia="ro-MD"/>
        </w:rPr>
        <w:t xml:space="preserve">2) </w:t>
      </w:r>
      <w:r w:rsidR="00802096" w:rsidRPr="00C660A8">
        <w:rPr>
          <w:color w:val="000000" w:themeColor="text1"/>
          <w:sz w:val="22"/>
          <w:szCs w:val="22"/>
          <w:lang w:val="ru-MD" w:eastAsia="ro-MD"/>
        </w:rPr>
        <w:t>разница между суммой подверженности и стоимостью требований должна отражать все соответствующие факторы, включая затраты на взыскание, степень концентрации в портфеле требований, предоставленных в качестве обеспечения одним и тем же должником, а также потенциальный риск концентрации на уровне совокупных подверженностей банка, выходящего за пределы уровня риска концентрации, контролируемого с помощью общей методологии банка. Банки должны располагать постоянным процессом мониторинга требований, соответствующим их характеру. Банки должны также регулярно проверять соблюдение условий кредитных договоров, экологических ограничений и других правовых требований</w:t>
      </w:r>
      <w:r w:rsidRPr="00C660A8">
        <w:rPr>
          <w:color w:val="000000" w:themeColor="text1"/>
          <w:sz w:val="22"/>
          <w:szCs w:val="22"/>
          <w:lang w:val="ru-MD" w:eastAsia="ro-MD"/>
        </w:rPr>
        <w:t>;</w:t>
      </w:r>
    </w:p>
    <w:p w14:paraId="13292532" w14:textId="22D2D268" w:rsidR="00962019" w:rsidRPr="00C660A8" w:rsidRDefault="00962019" w:rsidP="00962019">
      <w:pPr>
        <w:ind w:firstLine="567"/>
        <w:jc w:val="both"/>
        <w:rPr>
          <w:color w:val="000000" w:themeColor="text1"/>
          <w:sz w:val="22"/>
          <w:szCs w:val="22"/>
          <w:lang w:val="ru-MD" w:eastAsia="ro-MD"/>
        </w:rPr>
      </w:pPr>
      <w:r w:rsidRPr="00C660A8">
        <w:rPr>
          <w:color w:val="000000" w:themeColor="text1"/>
          <w:sz w:val="22"/>
          <w:szCs w:val="22"/>
          <w:lang w:val="ru-MD" w:eastAsia="ro-MD"/>
        </w:rPr>
        <w:t xml:space="preserve">3) </w:t>
      </w:r>
      <w:r w:rsidR="00802096" w:rsidRPr="00C660A8">
        <w:rPr>
          <w:color w:val="000000" w:themeColor="text1"/>
          <w:sz w:val="22"/>
          <w:szCs w:val="22"/>
          <w:lang w:val="ru-MD" w:eastAsia="ro-MD"/>
        </w:rPr>
        <w:t>залоговые активы, предоставленные заемщиком, должны быть диверсифицированы и не должны быть необоснованно связаны с положением заемщика. В случае наличия значимой положительной корреляции банки должны учитывать связанные с этим риски при определении марж для портфеля реального обеспечения в целом</w:t>
      </w:r>
      <w:r w:rsidRPr="00C660A8">
        <w:rPr>
          <w:color w:val="000000" w:themeColor="text1"/>
          <w:sz w:val="22"/>
          <w:szCs w:val="22"/>
          <w:lang w:val="ru-MD" w:eastAsia="ro-MD"/>
        </w:rPr>
        <w:t>;</w:t>
      </w:r>
    </w:p>
    <w:p w14:paraId="2C84A1BE" w14:textId="6EA79AB6" w:rsidR="00962019" w:rsidRPr="00C660A8" w:rsidRDefault="00962019" w:rsidP="00962019">
      <w:pPr>
        <w:ind w:firstLine="567"/>
        <w:jc w:val="both"/>
        <w:rPr>
          <w:color w:val="000000" w:themeColor="text1"/>
          <w:sz w:val="22"/>
          <w:szCs w:val="22"/>
          <w:lang w:val="ru-MD" w:eastAsia="ro-MD"/>
        </w:rPr>
      </w:pPr>
      <w:r w:rsidRPr="00C660A8">
        <w:rPr>
          <w:color w:val="000000" w:themeColor="text1"/>
          <w:sz w:val="22"/>
          <w:szCs w:val="22"/>
          <w:lang w:val="ru-MD" w:eastAsia="ro-MD"/>
        </w:rPr>
        <w:t xml:space="preserve">4) </w:t>
      </w:r>
      <w:r w:rsidR="00C660A8" w:rsidRPr="00C660A8">
        <w:rPr>
          <w:color w:val="000000" w:themeColor="text1"/>
          <w:sz w:val="22"/>
          <w:szCs w:val="22"/>
          <w:lang w:val="ru-MD" w:eastAsia="ro-MD"/>
        </w:rPr>
        <w:t>банки не должны использовать в качестве приемлемого обеспечения кредита задолженности, полученные от аффилированных лиц заемщика, включая его дочерние компании и сотрудников</w:t>
      </w:r>
      <w:r w:rsidRPr="00C660A8">
        <w:rPr>
          <w:color w:val="000000" w:themeColor="text1"/>
          <w:sz w:val="22"/>
          <w:szCs w:val="22"/>
          <w:lang w:val="ru-MD" w:eastAsia="ro-MD"/>
        </w:rPr>
        <w:t>;</w:t>
      </w:r>
    </w:p>
    <w:p w14:paraId="773DC0CD" w14:textId="23D7117F" w:rsidR="00962019" w:rsidRPr="00C660A8" w:rsidRDefault="00962019" w:rsidP="00962019">
      <w:pPr>
        <w:ind w:firstLine="567"/>
        <w:jc w:val="both"/>
        <w:rPr>
          <w:color w:val="000000" w:themeColor="text1"/>
          <w:sz w:val="22"/>
          <w:szCs w:val="22"/>
          <w:lang w:val="ru-MD" w:eastAsia="ro-MD"/>
        </w:rPr>
      </w:pPr>
      <w:r w:rsidRPr="00C660A8">
        <w:rPr>
          <w:color w:val="000000" w:themeColor="text1"/>
          <w:sz w:val="22"/>
          <w:szCs w:val="22"/>
          <w:lang w:val="ru-MD" w:eastAsia="ro-MD"/>
        </w:rPr>
        <w:t xml:space="preserve">5) </w:t>
      </w:r>
      <w:r w:rsidR="00C660A8" w:rsidRPr="00C660A8">
        <w:rPr>
          <w:color w:val="000000" w:themeColor="text1"/>
          <w:sz w:val="22"/>
          <w:szCs w:val="22"/>
          <w:lang w:val="ru-MD" w:eastAsia="ro-MD"/>
        </w:rPr>
        <w:t>банки должны располагать формализованной процедурой взыскания платежей по задолженности в сложных ситуациях. Банки должны располагать необходимыми средствами для взыскания задолженности, даже если в обычных условиях они полагаются на должников в вопросах взыскания</w:t>
      </w:r>
      <w:r w:rsidRPr="00C660A8">
        <w:rPr>
          <w:color w:val="000000" w:themeColor="text1"/>
          <w:sz w:val="22"/>
          <w:szCs w:val="22"/>
          <w:lang w:val="ru-MD" w:eastAsia="ro-MD"/>
        </w:rPr>
        <w:t>.</w:t>
      </w:r>
    </w:p>
    <w:p w14:paraId="696CC671" w14:textId="5DB4250D" w:rsidR="00962019" w:rsidRPr="00884D1F" w:rsidRDefault="0098232D" w:rsidP="00DD0BDA">
      <w:pPr>
        <w:spacing w:before="120"/>
        <w:jc w:val="center"/>
        <w:rPr>
          <w:color w:val="000000" w:themeColor="text1"/>
          <w:sz w:val="22"/>
          <w:szCs w:val="22"/>
          <w:lang w:val="ro-RO" w:eastAsia="ro-MD"/>
        </w:rPr>
      </w:pPr>
      <w:r>
        <w:rPr>
          <w:b/>
          <w:bCs/>
          <w:i/>
          <w:iCs/>
          <w:color w:val="000000" w:themeColor="text1"/>
          <w:sz w:val="22"/>
          <w:szCs w:val="22"/>
          <w:lang w:val="ru-RU" w:eastAsia="ro-MD"/>
        </w:rPr>
        <w:t>Часть</w:t>
      </w:r>
      <w:r w:rsidR="00962019" w:rsidRPr="00884D1F">
        <w:rPr>
          <w:b/>
          <w:bCs/>
          <w:i/>
          <w:iCs/>
          <w:color w:val="000000" w:themeColor="text1"/>
          <w:sz w:val="22"/>
          <w:szCs w:val="22"/>
          <w:lang w:val="ro-RO" w:eastAsia="ro-MD"/>
        </w:rPr>
        <w:t xml:space="preserve"> 2</w:t>
      </w:r>
      <w:r w:rsidR="00962019" w:rsidRPr="00884D1F">
        <w:rPr>
          <w:b/>
          <w:bCs/>
          <w:i/>
          <w:iCs/>
          <w:color w:val="000000" w:themeColor="text1"/>
          <w:sz w:val="22"/>
          <w:szCs w:val="22"/>
          <w:vertAlign w:val="superscript"/>
          <w:lang w:val="ro-RO" w:eastAsia="ro-MD"/>
        </w:rPr>
        <w:t>2</w:t>
      </w:r>
    </w:p>
    <w:p w14:paraId="0D05DA09" w14:textId="254B882E" w:rsidR="00962019" w:rsidRPr="002E5645" w:rsidRDefault="00962019" w:rsidP="00DD0BDA">
      <w:pPr>
        <w:spacing w:after="120"/>
        <w:jc w:val="center"/>
        <w:rPr>
          <w:color w:val="000000" w:themeColor="text1"/>
          <w:sz w:val="22"/>
          <w:szCs w:val="22"/>
          <w:lang w:val="ru-RU" w:eastAsia="ro-MD"/>
        </w:rPr>
      </w:pPr>
      <w:r w:rsidRPr="002E5645">
        <w:rPr>
          <w:b/>
          <w:bCs/>
          <w:i/>
          <w:iCs/>
          <w:color w:val="000000" w:themeColor="text1"/>
          <w:sz w:val="22"/>
          <w:szCs w:val="22"/>
          <w:lang w:val="ru-RU" w:eastAsia="ro-MD"/>
        </w:rPr>
        <w:t> </w:t>
      </w:r>
      <w:r w:rsidR="002E5645" w:rsidRPr="002E5645">
        <w:rPr>
          <w:b/>
          <w:bCs/>
          <w:i/>
          <w:iCs/>
          <w:color w:val="000000" w:themeColor="text1"/>
          <w:sz w:val="22"/>
          <w:szCs w:val="22"/>
          <w:lang w:val="ru-RU" w:eastAsia="ro-MD"/>
        </w:rPr>
        <w:t>Требования в отношении иного вещного обеспечения и в отношении учета рисков, связанных с операциями лизинга, в качестве подверженностей, обеспеченных залогом</w:t>
      </w:r>
    </w:p>
    <w:p w14:paraId="348A3DD9" w14:textId="2494DAF7" w:rsidR="00962019" w:rsidRPr="00E34E67" w:rsidRDefault="00962019" w:rsidP="00962019">
      <w:pPr>
        <w:jc w:val="both"/>
        <w:rPr>
          <w:color w:val="000000" w:themeColor="text1"/>
          <w:sz w:val="22"/>
          <w:szCs w:val="22"/>
          <w:lang w:val="ru-RU" w:eastAsia="ro-MD"/>
        </w:rPr>
      </w:pPr>
      <w:r w:rsidRPr="00E34E67">
        <w:rPr>
          <w:b/>
          <w:bCs/>
          <w:color w:val="000000" w:themeColor="text1"/>
          <w:sz w:val="22"/>
          <w:szCs w:val="22"/>
          <w:lang w:val="ru-RU" w:eastAsia="ro-MD"/>
        </w:rPr>
        <w:t>50</w:t>
      </w:r>
      <w:r w:rsidRPr="00E34E67">
        <w:rPr>
          <w:b/>
          <w:bCs/>
          <w:color w:val="000000" w:themeColor="text1"/>
          <w:sz w:val="22"/>
          <w:szCs w:val="22"/>
          <w:vertAlign w:val="superscript"/>
          <w:lang w:val="ru-RU" w:eastAsia="ro-MD"/>
        </w:rPr>
        <w:t>5</w:t>
      </w:r>
      <w:r w:rsidRPr="00E34E67">
        <w:rPr>
          <w:b/>
          <w:bCs/>
          <w:color w:val="000000" w:themeColor="text1"/>
          <w:sz w:val="22"/>
          <w:szCs w:val="22"/>
          <w:lang w:val="ru-RU" w:eastAsia="ro-MD"/>
        </w:rPr>
        <w:t>.</w:t>
      </w:r>
      <w:r w:rsidRPr="00E34E67">
        <w:rPr>
          <w:color w:val="000000" w:themeColor="text1"/>
          <w:sz w:val="22"/>
          <w:szCs w:val="22"/>
          <w:lang w:val="ru-RU" w:eastAsia="ro-MD"/>
        </w:rPr>
        <w:t xml:space="preserve"> </w:t>
      </w:r>
      <w:r w:rsidR="005E1FE3" w:rsidRPr="00E34E67">
        <w:rPr>
          <w:color w:val="000000" w:themeColor="text1"/>
          <w:sz w:val="22"/>
          <w:szCs w:val="22"/>
          <w:lang w:val="ru-RU" w:eastAsia="ro-MD"/>
        </w:rPr>
        <w:t>Вещные обеспечения, за исключением обеспечений в виде недвижимого имущества, считаются приемлемыми вещными обеспечениями в рамках подхода IRB, если совокупно выполняются следующие условия</w:t>
      </w:r>
      <w:r w:rsidRPr="00E34E67">
        <w:rPr>
          <w:color w:val="000000" w:themeColor="text1"/>
          <w:sz w:val="22"/>
          <w:szCs w:val="22"/>
          <w:lang w:val="ru-RU" w:eastAsia="ro-MD"/>
        </w:rPr>
        <w:t>:</w:t>
      </w:r>
    </w:p>
    <w:p w14:paraId="3673789D" w14:textId="43BC2340" w:rsidR="00962019" w:rsidRPr="00E34E67" w:rsidRDefault="00962019" w:rsidP="00962019">
      <w:pPr>
        <w:ind w:firstLine="567"/>
        <w:jc w:val="both"/>
        <w:rPr>
          <w:color w:val="000000" w:themeColor="text1"/>
          <w:sz w:val="22"/>
          <w:szCs w:val="22"/>
          <w:lang w:val="ru-RU" w:eastAsia="ro-MD"/>
        </w:rPr>
      </w:pPr>
      <w:r w:rsidRPr="00E34E67">
        <w:rPr>
          <w:color w:val="000000" w:themeColor="text1"/>
          <w:sz w:val="22"/>
          <w:szCs w:val="22"/>
          <w:lang w:val="ru-RU" w:eastAsia="ro-MD"/>
        </w:rPr>
        <w:t xml:space="preserve">1) </w:t>
      </w:r>
      <w:r w:rsidR="005E1FE3" w:rsidRPr="00E34E67">
        <w:rPr>
          <w:color w:val="000000" w:themeColor="text1"/>
          <w:sz w:val="22"/>
          <w:szCs w:val="22"/>
          <w:lang w:val="ru-RU" w:eastAsia="ro-MD"/>
        </w:rPr>
        <w:t xml:space="preserve">договор о вещном обеспечении, на основании которого </w:t>
      </w:r>
      <w:r w:rsidR="005C35B0">
        <w:rPr>
          <w:color w:val="000000" w:themeColor="text1"/>
          <w:sz w:val="22"/>
          <w:szCs w:val="22"/>
          <w:lang w:val="ru-RU" w:eastAsia="ro-MD"/>
        </w:rPr>
        <w:t>реальное</w:t>
      </w:r>
      <w:r w:rsidR="005E1FE3" w:rsidRPr="00E34E67">
        <w:rPr>
          <w:color w:val="000000" w:themeColor="text1"/>
          <w:sz w:val="22"/>
          <w:szCs w:val="22"/>
          <w:lang w:val="ru-RU" w:eastAsia="ro-MD"/>
        </w:rPr>
        <w:t xml:space="preserve"> обеспечение предоставляется банку, является юридически действительным и исполнимым во всех соответствующих юрисдикциях и позволяет данному банку реализовать </w:t>
      </w:r>
      <w:r w:rsidR="005C35B0">
        <w:rPr>
          <w:color w:val="000000" w:themeColor="text1"/>
          <w:sz w:val="22"/>
          <w:szCs w:val="22"/>
          <w:lang w:val="ru-RU" w:eastAsia="ro-MD"/>
        </w:rPr>
        <w:t>реальное</w:t>
      </w:r>
      <w:r w:rsidR="005E1FE3" w:rsidRPr="00E34E67">
        <w:rPr>
          <w:color w:val="000000" w:themeColor="text1"/>
          <w:sz w:val="22"/>
          <w:szCs w:val="22"/>
          <w:lang w:val="ru-RU" w:eastAsia="ro-MD"/>
        </w:rPr>
        <w:t xml:space="preserve"> обеспечение в разумные сроки</w:t>
      </w:r>
      <w:r w:rsidRPr="00E34E67">
        <w:rPr>
          <w:color w:val="000000" w:themeColor="text1"/>
          <w:sz w:val="22"/>
          <w:szCs w:val="22"/>
          <w:lang w:val="ru-RU" w:eastAsia="ro-MD"/>
        </w:rPr>
        <w:t>;</w:t>
      </w:r>
    </w:p>
    <w:p w14:paraId="06E6DD28" w14:textId="488AD2FC" w:rsidR="00962019" w:rsidRPr="00E34E67" w:rsidRDefault="00962019" w:rsidP="00962019">
      <w:pPr>
        <w:ind w:firstLine="567"/>
        <w:jc w:val="both"/>
        <w:rPr>
          <w:color w:val="000000" w:themeColor="text1"/>
          <w:sz w:val="22"/>
          <w:szCs w:val="22"/>
          <w:lang w:val="ru-RU" w:eastAsia="ro-MD"/>
        </w:rPr>
      </w:pPr>
      <w:r w:rsidRPr="00E34E67">
        <w:rPr>
          <w:color w:val="000000" w:themeColor="text1"/>
          <w:sz w:val="22"/>
          <w:szCs w:val="22"/>
          <w:lang w:val="ru-RU" w:eastAsia="ro-MD"/>
        </w:rPr>
        <w:t xml:space="preserve">2) </w:t>
      </w:r>
      <w:r w:rsidR="00E34E67" w:rsidRPr="00E34E67">
        <w:rPr>
          <w:color w:val="000000" w:themeColor="text1"/>
          <w:sz w:val="22"/>
          <w:szCs w:val="22"/>
          <w:lang w:val="ru-RU" w:eastAsia="ro-MD"/>
        </w:rPr>
        <w:t>за единственным исключением первоочередных прав, которые могут быть разрешены, упомянутых в подпункте 2) пункта 50</w:t>
      </w:r>
      <w:r w:rsidR="00E34E67" w:rsidRPr="00E34E67">
        <w:rPr>
          <w:color w:val="000000" w:themeColor="text1"/>
          <w:sz w:val="22"/>
          <w:szCs w:val="22"/>
          <w:vertAlign w:val="superscript"/>
          <w:lang w:val="ru-RU" w:eastAsia="ro-MD"/>
        </w:rPr>
        <w:t>3</w:t>
      </w:r>
      <w:r w:rsidR="00E34E67" w:rsidRPr="00E34E67">
        <w:rPr>
          <w:color w:val="000000" w:themeColor="text1"/>
          <w:sz w:val="22"/>
          <w:szCs w:val="22"/>
          <w:lang w:val="ru-RU" w:eastAsia="ro-MD"/>
        </w:rPr>
        <w:t>, только первоочередные права или привилегии в отношении залога квалифицируются как допустимый залог, и банк имеет приоритет перед всеми другими кредиторами в отношении сумм, полученных от принудительного исполнения залога;</w:t>
      </w:r>
    </w:p>
    <w:p w14:paraId="61BEEAE5" w14:textId="653C1488" w:rsidR="00962019" w:rsidRPr="00E34E67" w:rsidRDefault="00962019" w:rsidP="00962019">
      <w:pPr>
        <w:ind w:firstLine="567"/>
        <w:jc w:val="both"/>
        <w:rPr>
          <w:color w:val="000000" w:themeColor="text1"/>
          <w:sz w:val="22"/>
          <w:szCs w:val="22"/>
          <w:lang w:val="ru-RU" w:eastAsia="ro-MD"/>
        </w:rPr>
      </w:pPr>
      <w:r w:rsidRPr="00E34E67">
        <w:rPr>
          <w:color w:val="000000" w:themeColor="text1"/>
          <w:sz w:val="22"/>
          <w:szCs w:val="22"/>
          <w:lang w:val="ru-RU" w:eastAsia="ro-MD"/>
        </w:rPr>
        <w:t xml:space="preserve">3) </w:t>
      </w:r>
      <w:r w:rsidR="00E34E67" w:rsidRPr="00E34E67">
        <w:rPr>
          <w:color w:val="000000" w:themeColor="text1"/>
          <w:sz w:val="22"/>
          <w:szCs w:val="22"/>
          <w:lang w:val="ru-RU" w:eastAsia="ro-MD"/>
        </w:rPr>
        <w:t>банки проводят мониторинг стоимости вещного обеспечения на регулярной основе, то есть не реже одного раза в год. Частота мониторинга увеличивается в случае значительных изменений рыночных условий</w:t>
      </w:r>
      <w:r w:rsidRPr="00E34E67">
        <w:rPr>
          <w:color w:val="000000" w:themeColor="text1"/>
          <w:sz w:val="22"/>
          <w:szCs w:val="22"/>
          <w:lang w:val="ru-RU" w:eastAsia="ro-MD"/>
        </w:rPr>
        <w:t>;</w:t>
      </w:r>
    </w:p>
    <w:p w14:paraId="74464933" w14:textId="153ABFE0"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4) </w:t>
      </w:r>
      <w:r w:rsidR="00295A80" w:rsidRPr="00E56E75">
        <w:rPr>
          <w:color w:val="000000" w:themeColor="text1"/>
          <w:sz w:val="22"/>
          <w:szCs w:val="22"/>
          <w:lang w:val="ru-MD" w:eastAsia="ro-MD"/>
        </w:rPr>
        <w:t>кредитный договор содержит подробное описание вещных обеспечений и подробно определяет порядок и периодичность их переоценки;</w:t>
      </w:r>
    </w:p>
    <w:p w14:paraId="47732CF4" w14:textId="3EF7B6D7"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5) </w:t>
      </w:r>
      <w:r w:rsidR="00295A80" w:rsidRPr="00E56E75">
        <w:rPr>
          <w:color w:val="000000" w:themeColor="text1"/>
          <w:sz w:val="22"/>
          <w:szCs w:val="22"/>
          <w:lang w:val="ru-MD" w:eastAsia="ro-MD"/>
        </w:rPr>
        <w:t>банки четко оформляют в рамках внутренних кредитных политик и процедур, доступных для ознакомления, виды материального обеспечения, которые они принимают, а также политики и практику, которые они применяют в отношении суммы, соответствующей каждому виду обеспечения, по отношению к сумме подверженности</w:t>
      </w:r>
      <w:r w:rsidRPr="00E56E75">
        <w:rPr>
          <w:color w:val="000000" w:themeColor="text1"/>
          <w:sz w:val="22"/>
          <w:szCs w:val="22"/>
          <w:lang w:val="ru-MD" w:eastAsia="ro-MD"/>
        </w:rPr>
        <w:t>;</w:t>
      </w:r>
    </w:p>
    <w:p w14:paraId="28905732" w14:textId="02FA0C21"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6) </w:t>
      </w:r>
      <w:r w:rsidR="00180FA0" w:rsidRPr="00E56E75">
        <w:rPr>
          <w:color w:val="000000" w:themeColor="text1"/>
          <w:sz w:val="22"/>
          <w:szCs w:val="22"/>
          <w:lang w:val="ru-MD" w:eastAsia="ro-MD"/>
        </w:rPr>
        <w:t>кредитные политики банка в отношении структуры сделки устанавливают следующее</w:t>
      </w:r>
      <w:r w:rsidRPr="00E56E75">
        <w:rPr>
          <w:color w:val="000000" w:themeColor="text1"/>
          <w:sz w:val="22"/>
          <w:szCs w:val="22"/>
          <w:lang w:val="ru-MD" w:eastAsia="ro-MD"/>
        </w:rPr>
        <w:t>:</w:t>
      </w:r>
    </w:p>
    <w:p w14:paraId="446DE8BD" w14:textId="007D3BE6"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a) </w:t>
      </w:r>
      <w:r w:rsidR="00180FA0" w:rsidRPr="00E56E75">
        <w:rPr>
          <w:color w:val="000000" w:themeColor="text1"/>
          <w:sz w:val="22"/>
          <w:szCs w:val="22"/>
          <w:lang w:val="ru-MD" w:eastAsia="ro-MD"/>
        </w:rPr>
        <w:t>соответствующие требования к обеспечению в соотношении с суммой подверженности</w:t>
      </w:r>
      <w:r w:rsidRPr="00E56E75">
        <w:rPr>
          <w:color w:val="000000" w:themeColor="text1"/>
          <w:sz w:val="22"/>
          <w:szCs w:val="22"/>
          <w:lang w:val="ru-MD" w:eastAsia="ro-MD"/>
        </w:rPr>
        <w:t>;</w:t>
      </w:r>
    </w:p>
    <w:p w14:paraId="478670C1" w14:textId="70A37013"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b) </w:t>
      </w:r>
      <w:r w:rsidR="00E56E75" w:rsidRPr="00E56E75">
        <w:rPr>
          <w:color w:val="000000" w:themeColor="text1"/>
          <w:sz w:val="22"/>
          <w:szCs w:val="22"/>
          <w:lang w:val="ru-MD" w:eastAsia="ro-MD"/>
        </w:rPr>
        <w:t>возможность быстрого обращения взыскания на обеспечение</w:t>
      </w:r>
      <w:r w:rsidRPr="00E56E75">
        <w:rPr>
          <w:color w:val="000000" w:themeColor="text1"/>
          <w:sz w:val="22"/>
          <w:szCs w:val="22"/>
          <w:lang w:val="ru-MD" w:eastAsia="ro-MD"/>
        </w:rPr>
        <w:t>;</w:t>
      </w:r>
    </w:p>
    <w:p w14:paraId="0BA06AA4" w14:textId="58545FA0"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c) </w:t>
      </w:r>
      <w:r w:rsidR="00E56E75" w:rsidRPr="00E56E75">
        <w:rPr>
          <w:color w:val="000000" w:themeColor="text1"/>
          <w:sz w:val="22"/>
          <w:szCs w:val="22"/>
          <w:lang w:val="ru-MD" w:eastAsia="ro-MD"/>
        </w:rPr>
        <w:t>возможность объективного определения цены или рыночной стоимости</w:t>
      </w:r>
      <w:r w:rsidRPr="00E56E75">
        <w:rPr>
          <w:color w:val="000000" w:themeColor="text1"/>
          <w:sz w:val="22"/>
          <w:szCs w:val="22"/>
          <w:lang w:val="ru-MD" w:eastAsia="ro-MD"/>
        </w:rPr>
        <w:t>;</w:t>
      </w:r>
    </w:p>
    <w:p w14:paraId="2427D6D8" w14:textId="3FFFF43B"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d) </w:t>
      </w:r>
      <w:r w:rsidR="00E56E75" w:rsidRPr="00E56E75">
        <w:rPr>
          <w:color w:val="000000" w:themeColor="text1"/>
          <w:sz w:val="22"/>
          <w:szCs w:val="22"/>
          <w:lang w:val="ru-MD" w:eastAsia="ro-MD"/>
        </w:rPr>
        <w:t>частоту, с которой стоимость может быть получена немедленно, включая профессиональную оценку или экспертизу</w:t>
      </w:r>
      <w:r w:rsidRPr="00E56E75">
        <w:rPr>
          <w:color w:val="000000" w:themeColor="text1"/>
          <w:sz w:val="22"/>
          <w:szCs w:val="22"/>
          <w:lang w:val="ru-MD" w:eastAsia="ro-MD"/>
        </w:rPr>
        <w:t>;</w:t>
      </w:r>
    </w:p>
    <w:p w14:paraId="2769D7F7" w14:textId="5A16D45D" w:rsidR="00962019" w:rsidRPr="00E56E75" w:rsidRDefault="00962019" w:rsidP="00962019">
      <w:pPr>
        <w:ind w:firstLine="567"/>
        <w:jc w:val="both"/>
        <w:rPr>
          <w:color w:val="000000" w:themeColor="text1"/>
          <w:sz w:val="22"/>
          <w:szCs w:val="22"/>
          <w:lang w:val="ru-MD" w:eastAsia="ro-MD"/>
        </w:rPr>
      </w:pPr>
      <w:r w:rsidRPr="00E56E75">
        <w:rPr>
          <w:color w:val="000000" w:themeColor="text1"/>
          <w:sz w:val="22"/>
          <w:szCs w:val="22"/>
          <w:lang w:val="ru-MD" w:eastAsia="ro-MD"/>
        </w:rPr>
        <w:t xml:space="preserve">e) </w:t>
      </w:r>
      <w:r w:rsidR="00E56E75" w:rsidRPr="00E56E75">
        <w:rPr>
          <w:color w:val="000000" w:themeColor="text1"/>
          <w:sz w:val="22"/>
          <w:szCs w:val="22"/>
          <w:lang w:val="ru-MD" w:eastAsia="ro-MD"/>
        </w:rPr>
        <w:t>волатильность или показатель, приблизительно отражающий волатильность стоимости вещного обеспечения</w:t>
      </w:r>
      <w:r w:rsidRPr="00E56E75">
        <w:rPr>
          <w:color w:val="000000" w:themeColor="text1"/>
          <w:sz w:val="22"/>
          <w:szCs w:val="22"/>
          <w:lang w:val="ru-MD" w:eastAsia="ro-MD"/>
        </w:rPr>
        <w:t>.</w:t>
      </w:r>
    </w:p>
    <w:p w14:paraId="228EDAC0" w14:textId="5BE660B8" w:rsidR="00962019" w:rsidRPr="0012391D" w:rsidRDefault="00962019" w:rsidP="00962019">
      <w:pPr>
        <w:ind w:firstLine="567"/>
        <w:jc w:val="both"/>
        <w:rPr>
          <w:color w:val="000000" w:themeColor="text1"/>
          <w:sz w:val="22"/>
          <w:szCs w:val="22"/>
          <w:lang w:val="ru-RU" w:eastAsia="ro-MD"/>
        </w:rPr>
      </w:pPr>
      <w:r w:rsidRPr="0012391D">
        <w:rPr>
          <w:color w:val="000000" w:themeColor="text1"/>
          <w:sz w:val="22"/>
          <w:szCs w:val="22"/>
          <w:lang w:val="ru-RU" w:eastAsia="ro-MD"/>
        </w:rPr>
        <w:lastRenderedPageBreak/>
        <w:t xml:space="preserve">7) </w:t>
      </w:r>
      <w:r w:rsidR="00D85105" w:rsidRPr="0012391D">
        <w:rPr>
          <w:color w:val="000000" w:themeColor="text1"/>
          <w:sz w:val="22"/>
          <w:szCs w:val="22"/>
          <w:lang w:val="ru-RU" w:eastAsia="ro-MD"/>
        </w:rPr>
        <w:t>при проведении оценки или переоценки банки в полной мере учитывают любое ухудшение состояния или моральный износ обеспечения, уделяя особое внимание влиянию фактора времени на обеспечение, чувствительное к моральному износу; в случае материальных обеспечений моральный износ обеспечения также включает в себя оценочные соображения, связанные с экологическими, социальными и управленческими рисками, касающимися запретов или ограничений, налагаемых целями регулирования и соответствующими правовыми актами, а также, если это актуально для банков, осуществляющих международную деятельность, правовыми и регуляторными целями третьих стран</w:t>
      </w:r>
      <w:r w:rsidRPr="0012391D">
        <w:rPr>
          <w:color w:val="000000" w:themeColor="text1"/>
          <w:sz w:val="22"/>
          <w:szCs w:val="22"/>
          <w:lang w:val="ru-RU" w:eastAsia="ro-MD"/>
        </w:rPr>
        <w:t>;</w:t>
      </w:r>
    </w:p>
    <w:p w14:paraId="5D6ABE2E" w14:textId="757D8B4F" w:rsidR="00962019" w:rsidRPr="0012391D" w:rsidRDefault="00962019" w:rsidP="00962019">
      <w:pPr>
        <w:ind w:firstLine="567"/>
        <w:jc w:val="both"/>
        <w:rPr>
          <w:color w:val="000000" w:themeColor="text1"/>
          <w:sz w:val="22"/>
          <w:szCs w:val="22"/>
          <w:lang w:val="ru-RU" w:eastAsia="ro-MD"/>
        </w:rPr>
      </w:pPr>
      <w:r w:rsidRPr="0012391D">
        <w:rPr>
          <w:color w:val="000000" w:themeColor="text1"/>
          <w:sz w:val="22"/>
          <w:szCs w:val="22"/>
          <w:lang w:val="ru-RU" w:eastAsia="ro-MD"/>
        </w:rPr>
        <w:t xml:space="preserve">8) </w:t>
      </w:r>
      <w:r w:rsidR="00D85105" w:rsidRPr="0012391D">
        <w:rPr>
          <w:color w:val="000000" w:themeColor="text1"/>
          <w:sz w:val="22"/>
          <w:szCs w:val="22"/>
          <w:lang w:val="ru-RU" w:eastAsia="ro-MD"/>
        </w:rPr>
        <w:t>банки имеют право проводить физическую инспекцию обеспечения. Они также располагают политиками и процедурами, определяющими порядок осуществления права на физическую инспекцию</w:t>
      </w:r>
      <w:r w:rsidRPr="0012391D">
        <w:rPr>
          <w:color w:val="000000" w:themeColor="text1"/>
          <w:sz w:val="22"/>
          <w:szCs w:val="22"/>
          <w:lang w:val="ru-RU" w:eastAsia="ro-MD"/>
        </w:rPr>
        <w:t>;</w:t>
      </w:r>
    </w:p>
    <w:p w14:paraId="630EE105" w14:textId="77441AC4" w:rsidR="00962019" w:rsidRPr="00A06542" w:rsidRDefault="00962019" w:rsidP="00962019">
      <w:pPr>
        <w:ind w:firstLine="567"/>
        <w:jc w:val="both"/>
        <w:rPr>
          <w:color w:val="000000" w:themeColor="text1"/>
          <w:sz w:val="22"/>
          <w:szCs w:val="22"/>
          <w:lang w:val="ru-RU" w:eastAsia="ro-MD"/>
        </w:rPr>
      </w:pPr>
      <w:r w:rsidRPr="0012391D">
        <w:rPr>
          <w:color w:val="000000" w:themeColor="text1"/>
          <w:sz w:val="22"/>
          <w:szCs w:val="22"/>
          <w:lang w:val="ru-RU" w:eastAsia="ro-MD"/>
        </w:rPr>
        <w:t xml:space="preserve">9) </w:t>
      </w:r>
      <w:r w:rsidR="005C35B0">
        <w:rPr>
          <w:color w:val="000000" w:themeColor="text1"/>
          <w:sz w:val="22"/>
          <w:szCs w:val="22"/>
          <w:lang w:val="ru-RU" w:eastAsia="ro-MD"/>
        </w:rPr>
        <w:t>реальное</w:t>
      </w:r>
      <w:r w:rsidR="0012391D" w:rsidRPr="0012391D">
        <w:rPr>
          <w:color w:val="000000" w:themeColor="text1"/>
          <w:sz w:val="22"/>
          <w:szCs w:val="22"/>
          <w:lang w:val="ru-RU" w:eastAsia="ro-MD"/>
        </w:rPr>
        <w:t xml:space="preserve"> обеспечение, принятое в качестве защиты, надлежащим образом застраховано от риска </w:t>
      </w:r>
      <w:r w:rsidR="0012391D" w:rsidRPr="00A06542">
        <w:rPr>
          <w:color w:val="000000" w:themeColor="text1"/>
          <w:sz w:val="22"/>
          <w:szCs w:val="22"/>
          <w:lang w:val="ru-RU" w:eastAsia="ro-MD"/>
        </w:rPr>
        <w:t>ущерба, и банки располагают процедурами для контроля за этим</w:t>
      </w:r>
      <w:r w:rsidRPr="00A06542">
        <w:rPr>
          <w:color w:val="000000" w:themeColor="text1"/>
          <w:sz w:val="22"/>
          <w:szCs w:val="22"/>
          <w:lang w:val="ru-RU" w:eastAsia="ro-MD"/>
        </w:rPr>
        <w:t>.</w:t>
      </w:r>
    </w:p>
    <w:p w14:paraId="4CDB75C0" w14:textId="1D36FCD4" w:rsidR="00962019" w:rsidRPr="00A06542" w:rsidRDefault="00962019" w:rsidP="00962019">
      <w:pPr>
        <w:jc w:val="both"/>
        <w:rPr>
          <w:color w:val="000000" w:themeColor="text1"/>
          <w:sz w:val="22"/>
          <w:szCs w:val="22"/>
          <w:lang w:val="ru-RU" w:eastAsia="ro-MD"/>
        </w:rPr>
      </w:pPr>
      <w:r w:rsidRPr="00A06542">
        <w:rPr>
          <w:b/>
          <w:bCs/>
          <w:color w:val="000000" w:themeColor="text1"/>
          <w:sz w:val="22"/>
          <w:szCs w:val="22"/>
          <w:lang w:val="ru-RU" w:eastAsia="ro-MD"/>
        </w:rPr>
        <w:t>50</w:t>
      </w:r>
      <w:r w:rsidRPr="00A06542">
        <w:rPr>
          <w:b/>
          <w:bCs/>
          <w:color w:val="000000" w:themeColor="text1"/>
          <w:sz w:val="22"/>
          <w:szCs w:val="22"/>
          <w:vertAlign w:val="superscript"/>
          <w:lang w:val="ru-RU" w:eastAsia="ro-MD"/>
        </w:rPr>
        <w:t>6</w:t>
      </w:r>
      <w:r w:rsidRPr="00A06542">
        <w:rPr>
          <w:b/>
          <w:bCs/>
          <w:color w:val="000000" w:themeColor="text1"/>
          <w:sz w:val="22"/>
          <w:szCs w:val="22"/>
          <w:lang w:val="ru-RU" w:eastAsia="ro-MD"/>
        </w:rPr>
        <w:t>.</w:t>
      </w:r>
      <w:r w:rsidRPr="00A06542">
        <w:rPr>
          <w:color w:val="000000" w:themeColor="text1"/>
          <w:sz w:val="22"/>
          <w:szCs w:val="22"/>
          <w:lang w:val="ru-RU" w:eastAsia="ro-MD"/>
        </w:rPr>
        <w:t xml:space="preserve"> </w:t>
      </w:r>
      <w:r w:rsidR="00757D08" w:rsidRPr="00A06542">
        <w:rPr>
          <w:color w:val="000000" w:themeColor="text1"/>
          <w:sz w:val="22"/>
          <w:szCs w:val="22"/>
          <w:lang w:val="ru-RU" w:eastAsia="ro-MD"/>
        </w:rPr>
        <w:t>Если договоры об общей гарантии или иные формы обеспечения, установленные в отношении совокупности активов, предоставляют банку-кредитору зарегистрированное право требования в отношении активов компании, и если данное право требования включает как активы, не допускаемые в качестве обеспечения в рамках подхода IRB, так и активы, допускаемые в качестве обеспечения в рамках подхода IRB, банк может признать последние в качестве приемлемой финансируемой защиты кредита. В этом случае признание обусловлено соответствием данных активов требованиям приемлемости обеспечения в рамках подхода IRB, как это предусмотрено в настоящем регламенте</w:t>
      </w:r>
      <w:r w:rsidRPr="00A06542">
        <w:rPr>
          <w:color w:val="000000" w:themeColor="text1"/>
          <w:sz w:val="22"/>
          <w:szCs w:val="22"/>
          <w:lang w:val="ru-RU" w:eastAsia="ro-MD"/>
        </w:rPr>
        <w:t>.</w:t>
      </w:r>
    </w:p>
    <w:p w14:paraId="1A412709" w14:textId="16633C22" w:rsidR="00962019" w:rsidRPr="00A06542" w:rsidRDefault="00962019" w:rsidP="00962019">
      <w:pPr>
        <w:jc w:val="both"/>
        <w:rPr>
          <w:color w:val="000000" w:themeColor="text1"/>
          <w:sz w:val="22"/>
          <w:szCs w:val="22"/>
          <w:lang w:val="ru-RU" w:eastAsia="ro-MD"/>
        </w:rPr>
      </w:pPr>
      <w:r w:rsidRPr="00A06542">
        <w:rPr>
          <w:b/>
          <w:bCs/>
          <w:color w:val="000000" w:themeColor="text1"/>
          <w:sz w:val="22"/>
          <w:szCs w:val="22"/>
          <w:lang w:val="ru-RU" w:eastAsia="ro-MD"/>
        </w:rPr>
        <w:t>50</w:t>
      </w:r>
      <w:r w:rsidRPr="00A06542">
        <w:rPr>
          <w:b/>
          <w:bCs/>
          <w:color w:val="000000" w:themeColor="text1"/>
          <w:sz w:val="22"/>
          <w:szCs w:val="22"/>
          <w:vertAlign w:val="superscript"/>
          <w:lang w:val="ru-RU" w:eastAsia="ro-MD"/>
        </w:rPr>
        <w:t>7</w:t>
      </w:r>
      <w:r w:rsidRPr="00A06542">
        <w:rPr>
          <w:b/>
          <w:bCs/>
          <w:color w:val="000000" w:themeColor="text1"/>
          <w:sz w:val="22"/>
          <w:szCs w:val="22"/>
          <w:lang w:val="ru-RU" w:eastAsia="ro-MD"/>
        </w:rPr>
        <w:t>.</w:t>
      </w:r>
      <w:r w:rsidRPr="00A06542">
        <w:rPr>
          <w:color w:val="000000" w:themeColor="text1"/>
          <w:sz w:val="22"/>
          <w:szCs w:val="22"/>
          <w:lang w:val="ru-RU" w:eastAsia="ro-MD"/>
        </w:rPr>
        <w:t xml:space="preserve"> </w:t>
      </w:r>
      <w:r w:rsidR="00757D08" w:rsidRPr="00A06542">
        <w:rPr>
          <w:color w:val="000000" w:themeColor="text1"/>
          <w:sz w:val="22"/>
          <w:szCs w:val="22"/>
          <w:lang w:val="ru-RU" w:eastAsia="ro-MD"/>
        </w:rPr>
        <w:t>Банки должны рассматривать риски, возникающие в результате операций лизинга, как обеспеченные передаваемым в лизинг имуществом, если совокупно выполняются следующие условия</w:t>
      </w:r>
      <w:r w:rsidRPr="00A06542">
        <w:rPr>
          <w:color w:val="000000" w:themeColor="text1"/>
          <w:sz w:val="22"/>
          <w:szCs w:val="22"/>
          <w:lang w:val="ru-RU" w:eastAsia="ro-MD"/>
        </w:rPr>
        <w:t>:</w:t>
      </w:r>
    </w:p>
    <w:p w14:paraId="50834768" w14:textId="17310C3B" w:rsidR="00962019" w:rsidRPr="00A06542" w:rsidRDefault="00962019" w:rsidP="00962019">
      <w:pPr>
        <w:ind w:firstLine="567"/>
        <w:jc w:val="both"/>
        <w:rPr>
          <w:color w:val="000000" w:themeColor="text1"/>
          <w:sz w:val="22"/>
          <w:szCs w:val="22"/>
          <w:lang w:val="ru-RU" w:eastAsia="ro-MD"/>
        </w:rPr>
      </w:pPr>
      <w:r w:rsidRPr="00A06542">
        <w:rPr>
          <w:color w:val="000000" w:themeColor="text1"/>
          <w:sz w:val="22"/>
          <w:szCs w:val="22"/>
          <w:lang w:val="ru-RU" w:eastAsia="ro-MD"/>
        </w:rPr>
        <w:t xml:space="preserve">1) </w:t>
      </w:r>
      <w:r w:rsidR="00757D08" w:rsidRPr="00A06542">
        <w:rPr>
          <w:color w:val="000000" w:themeColor="text1"/>
          <w:sz w:val="22"/>
          <w:szCs w:val="22"/>
          <w:lang w:val="ru-RU" w:eastAsia="ro-MD"/>
        </w:rPr>
        <w:t>выполняются условия, установленные в пункте 50</w:t>
      </w:r>
      <w:r w:rsidR="00757D08" w:rsidRPr="00A06542">
        <w:rPr>
          <w:color w:val="000000" w:themeColor="text1"/>
          <w:sz w:val="22"/>
          <w:szCs w:val="22"/>
          <w:vertAlign w:val="superscript"/>
          <w:lang w:val="ru-RU" w:eastAsia="ro-MD"/>
        </w:rPr>
        <w:t>1</w:t>
      </w:r>
      <w:r w:rsidR="00757D08" w:rsidRPr="00A06542">
        <w:rPr>
          <w:color w:val="000000" w:themeColor="text1"/>
          <w:sz w:val="22"/>
          <w:szCs w:val="22"/>
          <w:lang w:val="ru-RU" w:eastAsia="ro-MD"/>
        </w:rPr>
        <w:t xml:space="preserve"> или пунктах 50</w:t>
      </w:r>
      <w:r w:rsidR="00757D08" w:rsidRPr="00A06542">
        <w:rPr>
          <w:color w:val="000000" w:themeColor="text1"/>
          <w:sz w:val="22"/>
          <w:szCs w:val="22"/>
          <w:vertAlign w:val="superscript"/>
          <w:lang w:val="ru-RU" w:eastAsia="ro-MD"/>
        </w:rPr>
        <w:t>5</w:t>
      </w:r>
      <w:r w:rsidR="00757D08" w:rsidRPr="00A06542">
        <w:rPr>
          <w:color w:val="000000" w:themeColor="text1"/>
          <w:sz w:val="22"/>
          <w:szCs w:val="22"/>
          <w:lang w:val="ru-RU" w:eastAsia="ro-MD"/>
        </w:rPr>
        <w:t>–50</w:t>
      </w:r>
      <w:r w:rsidR="00757D08" w:rsidRPr="00A06542">
        <w:rPr>
          <w:color w:val="000000" w:themeColor="text1"/>
          <w:sz w:val="22"/>
          <w:szCs w:val="22"/>
          <w:vertAlign w:val="superscript"/>
          <w:lang w:val="ru-RU" w:eastAsia="ro-MD"/>
        </w:rPr>
        <w:t>6</w:t>
      </w:r>
      <w:r w:rsidR="00757D08" w:rsidRPr="00A06542">
        <w:rPr>
          <w:color w:val="000000" w:themeColor="text1"/>
          <w:sz w:val="22"/>
          <w:szCs w:val="22"/>
          <w:lang w:val="ru-RU" w:eastAsia="ro-MD"/>
        </w:rPr>
        <w:t>, в зависимости от случая, для того чтобы данный вид имущества, переданного в лизинг, квалифицировался в качестве допустимого вещного обеспечения</w:t>
      </w:r>
      <w:r w:rsidRPr="00A06542">
        <w:rPr>
          <w:color w:val="000000" w:themeColor="text1"/>
          <w:sz w:val="22"/>
          <w:szCs w:val="22"/>
          <w:lang w:val="ru-RU" w:eastAsia="ro-MD"/>
        </w:rPr>
        <w:t>;</w:t>
      </w:r>
    </w:p>
    <w:p w14:paraId="57573107" w14:textId="6EEB1F72" w:rsidR="00962019" w:rsidRPr="00A06542" w:rsidRDefault="00962019" w:rsidP="00962019">
      <w:pPr>
        <w:ind w:firstLine="567"/>
        <w:jc w:val="both"/>
        <w:rPr>
          <w:color w:val="000000" w:themeColor="text1"/>
          <w:sz w:val="22"/>
          <w:szCs w:val="22"/>
          <w:lang w:val="ru-RU" w:eastAsia="ro-MD"/>
        </w:rPr>
      </w:pPr>
      <w:r w:rsidRPr="00A06542">
        <w:rPr>
          <w:color w:val="000000" w:themeColor="text1"/>
          <w:sz w:val="22"/>
          <w:szCs w:val="22"/>
          <w:lang w:val="ru-RU" w:eastAsia="ro-MD"/>
        </w:rPr>
        <w:t xml:space="preserve">2) </w:t>
      </w:r>
      <w:r w:rsidR="00A06542" w:rsidRPr="00A06542">
        <w:rPr>
          <w:color w:val="000000" w:themeColor="text1"/>
          <w:sz w:val="22"/>
          <w:szCs w:val="22"/>
          <w:lang w:val="ru-RU" w:eastAsia="ro-MD"/>
        </w:rPr>
        <w:t>арендодатель осуществляет тщательное управление рисками, учитывающее способ использования арендуемого актива, место его нахождения, срок его эксплуатации, а также планируемый срок использования, включая надлежащий мониторинг стоимости актива</w:t>
      </w:r>
      <w:r w:rsidRPr="00A06542">
        <w:rPr>
          <w:color w:val="000000" w:themeColor="text1"/>
          <w:sz w:val="22"/>
          <w:szCs w:val="22"/>
          <w:lang w:val="ru-RU" w:eastAsia="ro-MD"/>
        </w:rPr>
        <w:t>;</w:t>
      </w:r>
    </w:p>
    <w:p w14:paraId="4700C7FD" w14:textId="4C49831D" w:rsidR="00962019" w:rsidRPr="00A06542" w:rsidRDefault="00962019" w:rsidP="00962019">
      <w:pPr>
        <w:ind w:firstLine="567"/>
        <w:jc w:val="both"/>
        <w:rPr>
          <w:color w:val="000000" w:themeColor="text1"/>
          <w:sz w:val="22"/>
          <w:szCs w:val="22"/>
          <w:lang w:val="ru-RU" w:eastAsia="ro-MD"/>
        </w:rPr>
      </w:pPr>
      <w:r w:rsidRPr="00A06542">
        <w:rPr>
          <w:color w:val="000000" w:themeColor="text1"/>
          <w:sz w:val="22"/>
          <w:szCs w:val="22"/>
          <w:lang w:val="ru-RU" w:eastAsia="ro-MD"/>
        </w:rPr>
        <w:t xml:space="preserve">3) </w:t>
      </w:r>
      <w:r w:rsidR="00A06542" w:rsidRPr="00A06542">
        <w:rPr>
          <w:color w:val="000000" w:themeColor="text1"/>
          <w:sz w:val="22"/>
          <w:szCs w:val="22"/>
          <w:lang w:val="ru-RU" w:eastAsia="ro-MD"/>
        </w:rPr>
        <w:t>арендодатель обладает правом собственности на актив и может своевременно осуществлять свои права собственника</w:t>
      </w:r>
      <w:r w:rsidRPr="00A06542">
        <w:rPr>
          <w:color w:val="000000" w:themeColor="text1"/>
          <w:sz w:val="22"/>
          <w:szCs w:val="22"/>
          <w:lang w:val="ru-RU" w:eastAsia="ro-MD"/>
        </w:rPr>
        <w:t>;</w:t>
      </w:r>
    </w:p>
    <w:p w14:paraId="16A902AD" w14:textId="1B710D49" w:rsidR="007B1AF8" w:rsidRPr="00A06542" w:rsidRDefault="00962019" w:rsidP="00981ED0">
      <w:pPr>
        <w:ind w:firstLine="567"/>
        <w:jc w:val="both"/>
        <w:rPr>
          <w:color w:val="000000" w:themeColor="text1"/>
          <w:sz w:val="22"/>
          <w:szCs w:val="22"/>
          <w:lang w:val="ru-RU"/>
        </w:rPr>
      </w:pPr>
      <w:r w:rsidRPr="00A06542">
        <w:rPr>
          <w:color w:val="000000" w:themeColor="text1"/>
          <w:sz w:val="22"/>
          <w:szCs w:val="22"/>
          <w:lang w:val="ru-RU" w:eastAsia="ro-MD"/>
        </w:rPr>
        <w:t xml:space="preserve">4) </w:t>
      </w:r>
      <w:r w:rsidR="00A06542" w:rsidRPr="00A06542">
        <w:rPr>
          <w:color w:val="000000" w:themeColor="text1"/>
          <w:sz w:val="22"/>
          <w:szCs w:val="22"/>
          <w:lang w:val="ru-RU" w:eastAsia="ro-MD"/>
        </w:rPr>
        <w:t>если этот факт не был уже учтен при расчете уровня убытка в случае невыполнения обязательств, разница между неамортизированной суммой и рыночной стоимостью актива не настолько велика, чтобы завысить эффект снижения кредитного риска, присущего данным активам, переданным в аренду.».</w:t>
      </w:r>
    </w:p>
    <w:p w14:paraId="26654671" w14:textId="1E20EE34" w:rsidR="00715C5E" w:rsidRPr="00884D1F" w:rsidRDefault="00116251" w:rsidP="008F595B">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 xml:space="preserve">Дополнить пунктом </w:t>
      </w:r>
      <w:r w:rsidR="00750B3B" w:rsidRPr="00884D1F">
        <w:rPr>
          <w:color w:val="000000" w:themeColor="text1"/>
          <w:sz w:val="22"/>
          <w:szCs w:val="22"/>
          <w:lang w:val="ro-MD"/>
        </w:rPr>
        <w:t>51</w:t>
      </w:r>
      <w:r w:rsidR="00750B3B" w:rsidRPr="00884D1F">
        <w:rPr>
          <w:color w:val="000000" w:themeColor="text1"/>
          <w:sz w:val="22"/>
          <w:szCs w:val="22"/>
          <w:vertAlign w:val="superscript"/>
          <w:lang w:val="ro-MD"/>
        </w:rPr>
        <w:t>1</w:t>
      </w:r>
      <w:r w:rsidR="00750B3B" w:rsidRPr="00884D1F">
        <w:rPr>
          <w:color w:val="000000" w:themeColor="text1"/>
          <w:sz w:val="22"/>
          <w:szCs w:val="22"/>
          <w:lang w:val="ro-MD"/>
        </w:rPr>
        <w:t xml:space="preserve"> </w:t>
      </w:r>
      <w:r>
        <w:rPr>
          <w:color w:val="000000" w:themeColor="text1"/>
          <w:sz w:val="22"/>
          <w:szCs w:val="22"/>
          <w:lang w:val="ru-RU"/>
        </w:rPr>
        <w:t>следующего содержания</w:t>
      </w:r>
      <w:r w:rsidR="002D061D" w:rsidRPr="00884D1F">
        <w:rPr>
          <w:color w:val="000000" w:themeColor="text1"/>
          <w:sz w:val="22"/>
          <w:szCs w:val="22"/>
          <w:lang w:val="ro-MD"/>
        </w:rPr>
        <w:t>:</w:t>
      </w:r>
    </w:p>
    <w:p w14:paraId="1A5A01C9" w14:textId="52A36178" w:rsidR="00F3090A" w:rsidRPr="00DC1094" w:rsidRDefault="00116251" w:rsidP="00F3090A">
      <w:pPr>
        <w:jc w:val="both"/>
        <w:rPr>
          <w:color w:val="000000" w:themeColor="text1"/>
          <w:sz w:val="22"/>
          <w:szCs w:val="22"/>
          <w:lang w:val="ru-RU" w:eastAsia="ro-MD"/>
        </w:rPr>
      </w:pPr>
      <w:r w:rsidRPr="00DC1094">
        <w:rPr>
          <w:b/>
          <w:bCs/>
          <w:color w:val="000000" w:themeColor="text1"/>
          <w:sz w:val="22"/>
          <w:szCs w:val="22"/>
          <w:lang w:val="ru-RU" w:eastAsia="ro-MD"/>
        </w:rPr>
        <w:t>«</w:t>
      </w:r>
      <w:r w:rsidR="00F3090A" w:rsidRPr="00DC1094">
        <w:rPr>
          <w:b/>
          <w:bCs/>
          <w:color w:val="000000" w:themeColor="text1"/>
          <w:sz w:val="22"/>
          <w:szCs w:val="22"/>
          <w:lang w:val="ru-RU" w:eastAsia="ro-MD"/>
        </w:rPr>
        <w:t>51</w:t>
      </w:r>
      <w:r w:rsidR="00F3090A" w:rsidRPr="00DC1094">
        <w:rPr>
          <w:b/>
          <w:bCs/>
          <w:color w:val="000000" w:themeColor="text1"/>
          <w:sz w:val="22"/>
          <w:szCs w:val="22"/>
          <w:vertAlign w:val="superscript"/>
          <w:lang w:val="ru-RU" w:eastAsia="ro-MD"/>
        </w:rPr>
        <w:t>1</w:t>
      </w:r>
      <w:r w:rsidR="00F3090A" w:rsidRPr="00DC1094">
        <w:rPr>
          <w:b/>
          <w:bCs/>
          <w:color w:val="000000" w:themeColor="text1"/>
          <w:sz w:val="22"/>
          <w:szCs w:val="22"/>
          <w:lang w:val="ru-RU" w:eastAsia="ro-MD"/>
        </w:rPr>
        <w:t>.</w:t>
      </w:r>
      <w:r w:rsidR="00F3090A" w:rsidRPr="00DC1094">
        <w:rPr>
          <w:color w:val="000000" w:themeColor="text1"/>
          <w:sz w:val="22"/>
          <w:szCs w:val="22"/>
          <w:lang w:val="ru-RU" w:eastAsia="ro-MD"/>
        </w:rPr>
        <w:t xml:space="preserve"> </w:t>
      </w:r>
      <w:r w:rsidRPr="00DC1094">
        <w:rPr>
          <w:color w:val="000000" w:themeColor="text1"/>
          <w:sz w:val="22"/>
          <w:szCs w:val="22"/>
          <w:lang w:val="ru-RU" w:eastAsia="ro-MD"/>
        </w:rPr>
        <w:t>Полисы страхования жизни, заложенные в пользу кредитующего банка, считаются приемлемыми вещными гарантиями, если совокупно выполняются следующие условия</w:t>
      </w:r>
      <w:r w:rsidR="00F3090A" w:rsidRPr="00DC1094">
        <w:rPr>
          <w:color w:val="000000" w:themeColor="text1"/>
          <w:sz w:val="22"/>
          <w:szCs w:val="22"/>
          <w:lang w:val="ru-RU" w:eastAsia="ro-MD"/>
        </w:rPr>
        <w:t>:</w:t>
      </w:r>
    </w:p>
    <w:p w14:paraId="0A03332C" w14:textId="2FE418E3"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1) </w:t>
      </w:r>
      <w:r w:rsidR="00B367ED" w:rsidRPr="00DC1094">
        <w:rPr>
          <w:color w:val="000000" w:themeColor="text1"/>
          <w:sz w:val="22"/>
          <w:szCs w:val="22"/>
          <w:lang w:val="ru-RU" w:eastAsia="ro-MD"/>
        </w:rPr>
        <w:t>полис страхования жизни прозрачным образом заложен в пользу кредитующего банка или уступлен ему</w:t>
      </w:r>
      <w:r w:rsidRPr="00DC1094">
        <w:rPr>
          <w:color w:val="000000" w:themeColor="text1"/>
          <w:sz w:val="22"/>
          <w:szCs w:val="22"/>
          <w:lang w:val="ru-RU" w:eastAsia="ro-MD"/>
        </w:rPr>
        <w:t>;</w:t>
      </w:r>
    </w:p>
    <w:p w14:paraId="37CEC679" w14:textId="07B418A3"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2) </w:t>
      </w:r>
      <w:r w:rsidR="00B367ED" w:rsidRPr="00DC1094">
        <w:rPr>
          <w:color w:val="000000" w:themeColor="text1"/>
          <w:sz w:val="22"/>
          <w:szCs w:val="22"/>
          <w:lang w:val="ru-RU" w:eastAsia="ro-MD"/>
        </w:rPr>
        <w:t>общество, предоставляющее страхование жизни, уведомлено о залоге или уступке и, после получения уведомления, не может выплачивать суммы, подлежащие уплате по договору, без предварительного согласия кредитора</w:t>
      </w:r>
      <w:r w:rsidRPr="00DC1094">
        <w:rPr>
          <w:color w:val="000000" w:themeColor="text1"/>
          <w:sz w:val="22"/>
          <w:szCs w:val="22"/>
          <w:lang w:val="ru-RU" w:eastAsia="ro-MD"/>
        </w:rPr>
        <w:t>;</w:t>
      </w:r>
    </w:p>
    <w:p w14:paraId="12A0DF3C" w14:textId="18D661F4"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3) </w:t>
      </w:r>
      <w:r w:rsidR="00B367ED" w:rsidRPr="00DC1094">
        <w:rPr>
          <w:color w:val="000000" w:themeColor="text1"/>
          <w:sz w:val="22"/>
          <w:szCs w:val="22"/>
          <w:lang w:val="ru-RU" w:eastAsia="ro-MD"/>
        </w:rPr>
        <w:t>кредиторский банк имеет право аннулировать полис и получить выкупную стоимость в случае, если должник находится в состоянии неплатежеспособности</w:t>
      </w:r>
      <w:r w:rsidRPr="00DC1094">
        <w:rPr>
          <w:color w:val="000000" w:themeColor="text1"/>
          <w:sz w:val="22"/>
          <w:szCs w:val="22"/>
          <w:lang w:val="ru-RU" w:eastAsia="ro-MD"/>
        </w:rPr>
        <w:t>;</w:t>
      </w:r>
    </w:p>
    <w:p w14:paraId="40A0BB04" w14:textId="00A2A5BA"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4) </w:t>
      </w:r>
      <w:r w:rsidR="00BC0F92" w:rsidRPr="00DC1094">
        <w:rPr>
          <w:color w:val="000000" w:themeColor="text1"/>
          <w:sz w:val="22"/>
          <w:szCs w:val="22"/>
          <w:lang w:val="ru-RU" w:eastAsia="ro-MD"/>
        </w:rPr>
        <w:t>кредиторский банк информируется о любых невыполненных владельцем полиса платежах, относящихся к нему</w:t>
      </w:r>
      <w:r w:rsidRPr="00DC1094">
        <w:rPr>
          <w:color w:val="000000" w:themeColor="text1"/>
          <w:sz w:val="22"/>
          <w:szCs w:val="22"/>
          <w:lang w:val="ru-RU" w:eastAsia="ro-MD"/>
        </w:rPr>
        <w:t>;</w:t>
      </w:r>
    </w:p>
    <w:p w14:paraId="71336776" w14:textId="7EB974EB"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5) </w:t>
      </w:r>
      <w:r w:rsidR="00BC0F92" w:rsidRPr="00DC1094">
        <w:rPr>
          <w:color w:val="000000" w:themeColor="text1"/>
          <w:sz w:val="22"/>
          <w:szCs w:val="22"/>
          <w:lang w:val="ru-RU" w:eastAsia="ro-MD"/>
        </w:rPr>
        <w:t>защита кредита обеспечивается до наступления срока погашения кредита. Если это невозможно в связи с тем, что действие страхового полиса заканчивается до истечения срока кредита, банк обеспечивает, чтобы сумма, выплачиваемая по договору страхования, служила ему гарантией до окончания срока действия кредитного договора</w:t>
      </w:r>
      <w:r w:rsidRPr="00DC1094">
        <w:rPr>
          <w:color w:val="000000" w:themeColor="text1"/>
          <w:sz w:val="22"/>
          <w:szCs w:val="22"/>
          <w:lang w:val="ru-RU" w:eastAsia="ro-MD"/>
        </w:rPr>
        <w:t>;</w:t>
      </w:r>
    </w:p>
    <w:p w14:paraId="5C14FFFE" w14:textId="2EC5CF66"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6) </w:t>
      </w:r>
      <w:r w:rsidR="00BC0F92" w:rsidRPr="00DC1094">
        <w:rPr>
          <w:color w:val="000000" w:themeColor="text1"/>
          <w:sz w:val="22"/>
          <w:szCs w:val="22"/>
          <w:lang w:val="ru-RU" w:eastAsia="ro-MD"/>
        </w:rPr>
        <w:t>залог или уступка являются юридически действительными и имеют юридическую силу во всех соответствующих юрисдикциях на момент заключения кредитного договора</w:t>
      </w:r>
      <w:r w:rsidRPr="00DC1094">
        <w:rPr>
          <w:color w:val="000000" w:themeColor="text1"/>
          <w:sz w:val="22"/>
          <w:szCs w:val="22"/>
          <w:lang w:val="ru-RU" w:eastAsia="ro-MD"/>
        </w:rPr>
        <w:t>;</w:t>
      </w:r>
    </w:p>
    <w:p w14:paraId="2CADA34B" w14:textId="0670F77F"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7) </w:t>
      </w:r>
      <w:r w:rsidR="001668BC" w:rsidRPr="00DC1094">
        <w:rPr>
          <w:color w:val="000000" w:themeColor="text1"/>
          <w:sz w:val="22"/>
          <w:szCs w:val="22"/>
          <w:lang w:val="ru-RU" w:eastAsia="ro-MD"/>
        </w:rPr>
        <w:t>выкупная стоимость заявлена компанией, предоставляющей страхование жизни, и не подлежит уменьшению</w:t>
      </w:r>
      <w:r w:rsidRPr="00DC1094">
        <w:rPr>
          <w:color w:val="000000" w:themeColor="text1"/>
          <w:sz w:val="22"/>
          <w:szCs w:val="22"/>
          <w:lang w:val="ru-RU" w:eastAsia="ro-MD"/>
        </w:rPr>
        <w:t>;</w:t>
      </w:r>
    </w:p>
    <w:p w14:paraId="1C5E3CEE" w14:textId="64942F01"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lastRenderedPageBreak/>
        <w:t xml:space="preserve">8) </w:t>
      </w:r>
      <w:r w:rsidR="001668BC" w:rsidRPr="00DC1094">
        <w:rPr>
          <w:color w:val="000000" w:themeColor="text1"/>
          <w:sz w:val="22"/>
          <w:szCs w:val="22"/>
          <w:lang w:val="ru-RU" w:eastAsia="ro-MD"/>
        </w:rPr>
        <w:t>выкупная стоимость должна быть своевременно выплачена по требованию компанией, предоставляющей страхование жизни</w:t>
      </w:r>
      <w:r w:rsidRPr="00DC1094">
        <w:rPr>
          <w:color w:val="000000" w:themeColor="text1"/>
          <w:sz w:val="22"/>
          <w:szCs w:val="22"/>
          <w:lang w:val="ru-RU" w:eastAsia="ro-MD"/>
        </w:rPr>
        <w:t>;</w:t>
      </w:r>
    </w:p>
    <w:p w14:paraId="66543147" w14:textId="0282CE5E" w:rsidR="00F3090A" w:rsidRPr="00DC1094" w:rsidRDefault="00F3090A" w:rsidP="00F3090A">
      <w:pPr>
        <w:ind w:firstLine="567"/>
        <w:jc w:val="both"/>
        <w:rPr>
          <w:color w:val="000000" w:themeColor="text1"/>
          <w:sz w:val="22"/>
          <w:szCs w:val="22"/>
          <w:lang w:val="ru-RU" w:eastAsia="ro-MD"/>
        </w:rPr>
      </w:pPr>
      <w:r w:rsidRPr="00DC1094">
        <w:rPr>
          <w:color w:val="000000" w:themeColor="text1"/>
          <w:sz w:val="22"/>
          <w:szCs w:val="22"/>
          <w:lang w:val="ru-RU" w:eastAsia="ro-MD"/>
        </w:rPr>
        <w:t xml:space="preserve">9) </w:t>
      </w:r>
      <w:r w:rsidR="001668BC" w:rsidRPr="00DC1094">
        <w:rPr>
          <w:color w:val="000000" w:themeColor="text1"/>
          <w:sz w:val="22"/>
          <w:szCs w:val="22"/>
          <w:lang w:val="ru-RU" w:eastAsia="ro-MD"/>
        </w:rPr>
        <w:t>выкупная стоимость не может быть востребована без предварительного согласия банка</w:t>
      </w:r>
      <w:r w:rsidRPr="00DC1094">
        <w:rPr>
          <w:color w:val="000000" w:themeColor="text1"/>
          <w:sz w:val="22"/>
          <w:szCs w:val="22"/>
          <w:lang w:val="ru-RU" w:eastAsia="ro-MD"/>
        </w:rPr>
        <w:t>;</w:t>
      </w:r>
    </w:p>
    <w:p w14:paraId="027F8F8F" w14:textId="6631B8C5" w:rsidR="002D061D" w:rsidRPr="00DC1094" w:rsidRDefault="00F3090A" w:rsidP="00F3090A">
      <w:pPr>
        <w:ind w:firstLine="567"/>
        <w:jc w:val="both"/>
        <w:rPr>
          <w:color w:val="000000" w:themeColor="text1"/>
          <w:sz w:val="22"/>
          <w:szCs w:val="22"/>
          <w:lang w:val="ru-RU"/>
        </w:rPr>
      </w:pPr>
      <w:r w:rsidRPr="00DC1094">
        <w:rPr>
          <w:color w:val="000000" w:themeColor="text1"/>
          <w:sz w:val="22"/>
          <w:szCs w:val="22"/>
          <w:lang w:val="ru-RU" w:eastAsia="ro-MD"/>
        </w:rPr>
        <w:t xml:space="preserve">10) </w:t>
      </w:r>
      <w:r w:rsidR="00DC1094" w:rsidRPr="00DC1094">
        <w:rPr>
          <w:color w:val="000000" w:themeColor="text1"/>
          <w:sz w:val="22"/>
          <w:szCs w:val="22"/>
          <w:lang w:val="ru-RU" w:eastAsia="ro-MD"/>
        </w:rPr>
        <w:t>общество, предоставляющее страхование жизни, подпадает под действие Закона о страховой или перестрахово</w:t>
      </w:r>
      <w:r w:rsidR="00DC1094">
        <w:rPr>
          <w:color w:val="000000" w:themeColor="text1"/>
          <w:sz w:val="22"/>
          <w:szCs w:val="22"/>
          <w:lang w:val="ru-RU" w:eastAsia="ro-MD"/>
        </w:rPr>
        <w:t>чной</w:t>
      </w:r>
      <w:r w:rsidR="00DC1094" w:rsidRPr="00DC1094">
        <w:rPr>
          <w:color w:val="000000" w:themeColor="text1"/>
          <w:sz w:val="22"/>
          <w:szCs w:val="22"/>
          <w:lang w:val="ru-RU" w:eastAsia="ro-MD"/>
        </w:rPr>
        <w:t xml:space="preserve"> деятельности</w:t>
      </w:r>
      <w:r w:rsidR="00DC1094">
        <w:rPr>
          <w:color w:val="000000" w:themeColor="text1"/>
          <w:sz w:val="22"/>
          <w:szCs w:val="22"/>
          <w:lang w:val="ru-RU" w:eastAsia="ro-MD"/>
        </w:rPr>
        <w:t xml:space="preserve"> </w:t>
      </w:r>
      <w:r w:rsidR="00DC1094" w:rsidRPr="00DC1094">
        <w:rPr>
          <w:color w:val="000000" w:themeColor="text1"/>
          <w:sz w:val="22"/>
          <w:szCs w:val="22"/>
          <w:lang w:val="ru-RU" w:eastAsia="ro-MD"/>
        </w:rPr>
        <w:t>№ 92/2022 или подлежит надзору со стороны компетентного органа третьей страны, применяющего нормы надзора и регулирования, по крайней мере, эквивалентные тем, которые применяются в Республике Молдова.».</w:t>
      </w:r>
    </w:p>
    <w:p w14:paraId="7070EA10" w14:textId="102F1C31" w:rsidR="002C0BFB" w:rsidRPr="00884D1F" w:rsidRDefault="00B910E6" w:rsidP="005C236D">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 пункте</w:t>
      </w:r>
      <w:r w:rsidR="002C0BFB" w:rsidRPr="00884D1F">
        <w:rPr>
          <w:color w:val="000000" w:themeColor="text1"/>
          <w:sz w:val="22"/>
          <w:szCs w:val="22"/>
          <w:lang w:val="ro-MD"/>
        </w:rPr>
        <w:t xml:space="preserve"> 53</w:t>
      </w:r>
      <w:r>
        <w:rPr>
          <w:color w:val="000000" w:themeColor="text1"/>
          <w:sz w:val="22"/>
          <w:szCs w:val="22"/>
          <w:lang w:val="ru-RU"/>
        </w:rPr>
        <w:t xml:space="preserve"> подпункт</w:t>
      </w:r>
      <w:r w:rsidR="002C0BFB" w:rsidRPr="00884D1F">
        <w:rPr>
          <w:color w:val="000000" w:themeColor="text1"/>
          <w:sz w:val="22"/>
          <w:szCs w:val="22"/>
          <w:lang w:val="ro-MD"/>
        </w:rPr>
        <w:t xml:space="preserve"> 3):</w:t>
      </w:r>
    </w:p>
    <w:p w14:paraId="5D127549" w14:textId="33ADDA80" w:rsidR="002C0BFB" w:rsidRPr="00EF1AF6" w:rsidRDefault="00EF1AF6" w:rsidP="005F73A6">
      <w:pPr>
        <w:pStyle w:val="ListParagraph"/>
        <w:numPr>
          <w:ilvl w:val="2"/>
          <w:numId w:val="27"/>
        </w:numPr>
        <w:tabs>
          <w:tab w:val="left" w:pos="567"/>
        </w:tabs>
        <w:spacing w:before="80"/>
        <w:ind w:left="0" w:firstLine="567"/>
        <w:contextualSpacing w:val="0"/>
        <w:jc w:val="both"/>
        <w:rPr>
          <w:color w:val="000000" w:themeColor="text1"/>
          <w:sz w:val="22"/>
          <w:szCs w:val="22"/>
          <w:lang w:val="ru-MD"/>
        </w:rPr>
      </w:pPr>
      <w:r w:rsidRPr="00EF1AF6">
        <w:rPr>
          <w:color w:val="000000" w:themeColor="text1"/>
          <w:sz w:val="22"/>
          <w:szCs w:val="22"/>
          <w:lang w:val="ru-MD"/>
        </w:rPr>
        <w:t>во вводной</w:t>
      </w:r>
      <w:r w:rsidR="00B910E6" w:rsidRPr="00EF1AF6">
        <w:rPr>
          <w:color w:val="000000" w:themeColor="text1"/>
          <w:sz w:val="22"/>
          <w:szCs w:val="22"/>
          <w:lang w:val="ru-MD"/>
        </w:rPr>
        <w:t xml:space="preserve"> части слово </w:t>
      </w:r>
      <w:r w:rsidR="0038594A" w:rsidRPr="00EF1AF6">
        <w:rPr>
          <w:color w:val="000000" w:themeColor="text1"/>
          <w:sz w:val="22"/>
          <w:szCs w:val="22"/>
          <w:lang w:val="ru-MD"/>
        </w:rPr>
        <w:t>дополнить текстом «-кредитора»</w:t>
      </w:r>
      <w:r w:rsidR="00FA5770" w:rsidRPr="00EF1AF6">
        <w:rPr>
          <w:color w:val="000000" w:themeColor="text1"/>
          <w:sz w:val="22"/>
          <w:szCs w:val="22"/>
          <w:lang w:val="ru-MD"/>
        </w:rPr>
        <w:t>;</w:t>
      </w:r>
    </w:p>
    <w:p w14:paraId="71FA047B" w14:textId="64859083" w:rsidR="00FA5770" w:rsidRPr="00EF1AF6" w:rsidRDefault="0038594A" w:rsidP="005F73A6">
      <w:pPr>
        <w:pStyle w:val="ListParagraph"/>
        <w:numPr>
          <w:ilvl w:val="2"/>
          <w:numId w:val="27"/>
        </w:numPr>
        <w:tabs>
          <w:tab w:val="left" w:pos="567"/>
        </w:tabs>
        <w:spacing w:before="80"/>
        <w:ind w:left="0" w:firstLine="567"/>
        <w:contextualSpacing w:val="0"/>
        <w:jc w:val="both"/>
        <w:rPr>
          <w:color w:val="000000" w:themeColor="text1"/>
          <w:sz w:val="22"/>
          <w:szCs w:val="22"/>
          <w:lang w:val="ru-MD"/>
        </w:rPr>
      </w:pPr>
      <w:r w:rsidRPr="00EF1AF6">
        <w:rPr>
          <w:color w:val="000000" w:themeColor="text1"/>
          <w:sz w:val="22"/>
          <w:szCs w:val="22"/>
          <w:lang w:val="ru-MD"/>
        </w:rPr>
        <w:t>пункт</w:t>
      </w:r>
      <w:r w:rsidR="009168DD" w:rsidRPr="00EF1AF6">
        <w:rPr>
          <w:color w:val="000000" w:themeColor="text1"/>
          <w:sz w:val="22"/>
          <w:szCs w:val="22"/>
          <w:lang w:val="ru-MD"/>
        </w:rPr>
        <w:t xml:space="preserve"> a)</w:t>
      </w:r>
      <w:r w:rsidR="006952B7" w:rsidRPr="00EF1AF6">
        <w:rPr>
          <w:color w:val="000000" w:themeColor="text1"/>
          <w:sz w:val="22"/>
          <w:szCs w:val="22"/>
          <w:lang w:val="ru-MD"/>
        </w:rPr>
        <w:t>,</w:t>
      </w:r>
      <w:r w:rsidR="009168DD" w:rsidRPr="00EF1AF6">
        <w:rPr>
          <w:color w:val="000000" w:themeColor="text1"/>
          <w:sz w:val="22"/>
          <w:szCs w:val="22"/>
          <w:lang w:val="ru-MD"/>
        </w:rPr>
        <w:t xml:space="preserve"> </w:t>
      </w:r>
      <w:r w:rsidR="004E618F" w:rsidRPr="00EF1AF6">
        <w:rPr>
          <w:color w:val="000000" w:themeColor="text1"/>
          <w:sz w:val="22"/>
          <w:szCs w:val="22"/>
          <w:lang w:val="ru-MD"/>
        </w:rPr>
        <w:t>после слова «от</w:t>
      </w:r>
      <w:r w:rsidR="00EF1AF6">
        <w:rPr>
          <w:color w:val="000000" w:themeColor="text1"/>
          <w:sz w:val="22"/>
          <w:szCs w:val="22"/>
          <w:lang w:val="ru-MD"/>
        </w:rPr>
        <w:t>м</w:t>
      </w:r>
      <w:r w:rsidR="004E618F" w:rsidRPr="00EF1AF6">
        <w:rPr>
          <w:color w:val="000000" w:themeColor="text1"/>
          <w:sz w:val="22"/>
          <w:szCs w:val="22"/>
          <w:lang w:val="ru-MD"/>
        </w:rPr>
        <w:t>енить» дополнить словами «или изменить»</w:t>
      </w:r>
      <w:r w:rsidR="009168DD" w:rsidRPr="00EF1AF6">
        <w:rPr>
          <w:color w:val="000000" w:themeColor="text1"/>
          <w:sz w:val="22"/>
          <w:szCs w:val="22"/>
          <w:lang w:val="ru-MD"/>
        </w:rPr>
        <w:t>;</w:t>
      </w:r>
    </w:p>
    <w:p w14:paraId="01A22650" w14:textId="7685B245" w:rsidR="009168DD" w:rsidRPr="00EF1AF6" w:rsidRDefault="00733D50" w:rsidP="005F73A6">
      <w:pPr>
        <w:pStyle w:val="ListParagraph"/>
        <w:numPr>
          <w:ilvl w:val="2"/>
          <w:numId w:val="27"/>
        </w:numPr>
        <w:tabs>
          <w:tab w:val="left" w:pos="567"/>
        </w:tabs>
        <w:spacing w:before="80"/>
        <w:ind w:left="0" w:firstLine="567"/>
        <w:contextualSpacing w:val="0"/>
        <w:jc w:val="both"/>
        <w:rPr>
          <w:color w:val="000000" w:themeColor="text1"/>
          <w:sz w:val="22"/>
          <w:szCs w:val="22"/>
          <w:lang w:val="ru-MD"/>
        </w:rPr>
      </w:pPr>
      <w:r w:rsidRPr="00EF1AF6">
        <w:rPr>
          <w:color w:val="000000" w:themeColor="text1"/>
          <w:sz w:val="22"/>
          <w:szCs w:val="22"/>
          <w:lang w:val="ru-MD"/>
        </w:rPr>
        <w:t>пункт</w:t>
      </w:r>
      <w:r w:rsidR="009168DD" w:rsidRPr="00EF1AF6">
        <w:rPr>
          <w:color w:val="000000" w:themeColor="text1"/>
          <w:sz w:val="22"/>
          <w:szCs w:val="22"/>
          <w:lang w:val="ru-MD"/>
        </w:rPr>
        <w:t xml:space="preserve"> b)</w:t>
      </w:r>
      <w:r w:rsidR="006952B7" w:rsidRPr="00EF1AF6">
        <w:rPr>
          <w:color w:val="000000" w:themeColor="text1"/>
          <w:sz w:val="22"/>
          <w:szCs w:val="22"/>
          <w:lang w:val="ru-MD"/>
        </w:rPr>
        <w:t>,</w:t>
      </w:r>
      <w:r w:rsidR="009168DD" w:rsidRPr="00EF1AF6">
        <w:rPr>
          <w:color w:val="000000" w:themeColor="text1"/>
          <w:sz w:val="22"/>
          <w:szCs w:val="22"/>
          <w:lang w:val="ru-MD"/>
        </w:rPr>
        <w:t xml:space="preserve"> </w:t>
      </w:r>
      <w:r w:rsidRPr="00EF1AF6">
        <w:rPr>
          <w:color w:val="000000" w:themeColor="text1"/>
          <w:sz w:val="22"/>
          <w:szCs w:val="22"/>
          <w:lang w:val="ru-MD"/>
        </w:rPr>
        <w:t>после слова «защиты» дополнить слов</w:t>
      </w:r>
      <w:r w:rsidR="00BD1289" w:rsidRPr="00EF1AF6">
        <w:rPr>
          <w:color w:val="000000" w:themeColor="text1"/>
          <w:sz w:val="22"/>
          <w:szCs w:val="22"/>
          <w:lang w:val="ru-MD"/>
        </w:rPr>
        <w:t>ом «кредита»</w:t>
      </w:r>
      <w:r w:rsidR="009168DD" w:rsidRPr="00EF1AF6">
        <w:rPr>
          <w:color w:val="000000" w:themeColor="text1"/>
          <w:sz w:val="22"/>
          <w:szCs w:val="22"/>
          <w:lang w:val="ru-MD"/>
        </w:rPr>
        <w:t>;</w:t>
      </w:r>
    </w:p>
    <w:p w14:paraId="45DC18F9" w14:textId="6776F095" w:rsidR="009168DD" w:rsidRPr="00EF1AF6" w:rsidRDefault="00BD1289" w:rsidP="005F73A6">
      <w:pPr>
        <w:pStyle w:val="ListParagraph"/>
        <w:numPr>
          <w:ilvl w:val="2"/>
          <w:numId w:val="27"/>
        </w:numPr>
        <w:tabs>
          <w:tab w:val="left" w:pos="567"/>
        </w:tabs>
        <w:spacing w:before="80"/>
        <w:ind w:left="0" w:firstLine="567"/>
        <w:contextualSpacing w:val="0"/>
        <w:jc w:val="both"/>
        <w:rPr>
          <w:color w:val="000000" w:themeColor="text1"/>
          <w:sz w:val="22"/>
          <w:szCs w:val="22"/>
          <w:lang w:val="ru-MD"/>
        </w:rPr>
      </w:pPr>
      <w:r w:rsidRPr="00EF1AF6">
        <w:rPr>
          <w:color w:val="000000" w:themeColor="text1"/>
          <w:sz w:val="22"/>
          <w:szCs w:val="22"/>
          <w:lang w:val="ru-MD"/>
        </w:rPr>
        <w:t>пункт</w:t>
      </w:r>
      <w:r w:rsidR="009168DD" w:rsidRPr="00EF1AF6">
        <w:rPr>
          <w:color w:val="000000" w:themeColor="text1"/>
          <w:sz w:val="22"/>
          <w:szCs w:val="22"/>
          <w:lang w:val="ru-MD"/>
        </w:rPr>
        <w:t xml:space="preserve"> c)</w:t>
      </w:r>
      <w:r w:rsidR="006952B7" w:rsidRPr="00EF1AF6">
        <w:rPr>
          <w:color w:val="000000" w:themeColor="text1"/>
          <w:sz w:val="22"/>
          <w:szCs w:val="22"/>
          <w:lang w:val="ru-MD"/>
        </w:rPr>
        <w:t>,</w:t>
      </w:r>
      <w:r w:rsidR="009168DD" w:rsidRPr="00EF1AF6">
        <w:rPr>
          <w:color w:val="000000" w:themeColor="text1"/>
          <w:sz w:val="22"/>
          <w:szCs w:val="22"/>
          <w:lang w:val="ru-MD"/>
        </w:rPr>
        <w:t xml:space="preserve"> </w:t>
      </w:r>
      <w:r w:rsidRPr="00EF1AF6">
        <w:rPr>
          <w:color w:val="000000" w:themeColor="text1"/>
          <w:sz w:val="22"/>
          <w:szCs w:val="22"/>
          <w:lang w:val="ru-MD"/>
        </w:rPr>
        <w:t xml:space="preserve">после текста «Регламента № </w:t>
      </w:r>
      <w:r w:rsidR="009168DD" w:rsidRPr="00EF1AF6">
        <w:rPr>
          <w:color w:val="000000" w:themeColor="text1"/>
          <w:sz w:val="22"/>
          <w:szCs w:val="22"/>
          <w:lang w:val="ru-MD" w:eastAsia="ro-MD"/>
        </w:rPr>
        <w:t>111/2018</w:t>
      </w:r>
      <w:r w:rsidRPr="00EF1AF6">
        <w:rPr>
          <w:color w:val="000000" w:themeColor="text1"/>
          <w:sz w:val="22"/>
          <w:szCs w:val="22"/>
          <w:lang w:val="ru-MD" w:eastAsia="ro-MD"/>
        </w:rPr>
        <w:t>»</w:t>
      </w:r>
      <w:r w:rsidR="001F2BAE" w:rsidRPr="00EF1AF6">
        <w:rPr>
          <w:color w:val="000000" w:themeColor="text1"/>
          <w:sz w:val="22"/>
          <w:szCs w:val="22"/>
          <w:lang w:val="ru-MD" w:eastAsia="ro-MD"/>
        </w:rPr>
        <w:t xml:space="preserve"> дополнить словами «</w:t>
      </w:r>
      <w:r w:rsidR="00A40943" w:rsidRPr="00EF1AF6">
        <w:rPr>
          <w:color w:val="000000" w:themeColor="text1"/>
          <w:sz w:val="22"/>
          <w:szCs w:val="22"/>
          <w:lang w:val="ru-MD" w:eastAsia="ro-MD"/>
        </w:rPr>
        <w:t xml:space="preserve">и нормативного акта Национального банка Молдовы об отношении </w:t>
      </w:r>
      <w:r w:rsidR="000728FD">
        <w:rPr>
          <w:color w:val="000000" w:themeColor="text1"/>
          <w:sz w:val="22"/>
          <w:szCs w:val="22"/>
          <w:lang w:val="ru-MD" w:eastAsia="ro-MD"/>
        </w:rPr>
        <w:t>к кредитному риску в соответствии с подходом</w:t>
      </w:r>
      <w:r w:rsidR="00A40943" w:rsidRPr="00EF1AF6">
        <w:rPr>
          <w:color w:val="000000" w:themeColor="text1"/>
          <w:sz w:val="22"/>
          <w:szCs w:val="22"/>
          <w:lang w:val="ru-MD" w:eastAsia="ro-MD"/>
        </w:rPr>
        <w:t>, основанным на внутренних рейтинговых моделях»</w:t>
      </w:r>
      <w:r w:rsidR="009168DD" w:rsidRPr="00EF1AF6">
        <w:rPr>
          <w:color w:val="000000" w:themeColor="text1"/>
          <w:sz w:val="22"/>
          <w:szCs w:val="22"/>
          <w:lang w:val="ru-MD" w:eastAsia="ro-MD"/>
        </w:rPr>
        <w:t>.</w:t>
      </w:r>
    </w:p>
    <w:p w14:paraId="34DF0386" w14:textId="648F4FC1" w:rsidR="00912F3F" w:rsidRPr="00EF1AF6" w:rsidRDefault="00A40943" w:rsidP="005C236D">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EF1AF6">
        <w:rPr>
          <w:color w:val="000000" w:themeColor="text1"/>
          <w:sz w:val="22"/>
          <w:szCs w:val="22"/>
          <w:lang w:val="ru-MD"/>
        </w:rPr>
        <w:t>В пункте</w:t>
      </w:r>
      <w:r w:rsidR="00912F3F" w:rsidRPr="00EF1AF6">
        <w:rPr>
          <w:color w:val="000000" w:themeColor="text1"/>
          <w:sz w:val="22"/>
          <w:szCs w:val="22"/>
          <w:lang w:val="ru-MD"/>
        </w:rPr>
        <w:t xml:space="preserve"> </w:t>
      </w:r>
      <w:r w:rsidR="00124F8F" w:rsidRPr="00EF1AF6">
        <w:rPr>
          <w:color w:val="000000" w:themeColor="text1"/>
          <w:sz w:val="22"/>
          <w:szCs w:val="22"/>
          <w:lang w:val="ru-MD"/>
        </w:rPr>
        <w:t>6</w:t>
      </w:r>
      <w:r w:rsidR="00912F3F" w:rsidRPr="00EF1AF6">
        <w:rPr>
          <w:color w:val="000000" w:themeColor="text1"/>
          <w:sz w:val="22"/>
          <w:szCs w:val="22"/>
          <w:lang w:val="ru-MD"/>
        </w:rPr>
        <w:t>0</w:t>
      </w:r>
      <w:r w:rsidRPr="00EF1AF6">
        <w:rPr>
          <w:color w:val="000000" w:themeColor="text1"/>
          <w:sz w:val="22"/>
          <w:szCs w:val="22"/>
          <w:lang w:val="ru-MD"/>
        </w:rPr>
        <w:t>,</w:t>
      </w:r>
      <w:r w:rsidR="00124F8F" w:rsidRPr="00EF1AF6">
        <w:rPr>
          <w:color w:val="000000" w:themeColor="text1"/>
          <w:sz w:val="22"/>
          <w:szCs w:val="22"/>
          <w:lang w:val="ru-MD"/>
        </w:rPr>
        <w:t xml:space="preserve"> </w:t>
      </w:r>
      <w:r w:rsidRPr="00EF1AF6">
        <w:rPr>
          <w:color w:val="000000" w:themeColor="text1"/>
          <w:sz w:val="22"/>
          <w:szCs w:val="22"/>
          <w:lang w:val="ru-MD"/>
        </w:rPr>
        <w:t>подпункт</w:t>
      </w:r>
      <w:r w:rsidR="00124F8F" w:rsidRPr="00EF1AF6">
        <w:rPr>
          <w:color w:val="000000" w:themeColor="text1"/>
          <w:sz w:val="22"/>
          <w:szCs w:val="22"/>
          <w:lang w:val="ru-MD"/>
        </w:rPr>
        <w:t xml:space="preserve"> 1)</w:t>
      </w:r>
      <w:r w:rsidR="00B257E4" w:rsidRPr="00EF1AF6">
        <w:rPr>
          <w:color w:val="000000" w:themeColor="text1"/>
          <w:sz w:val="22"/>
          <w:szCs w:val="22"/>
          <w:lang w:val="ru-MD"/>
        </w:rPr>
        <w:t>,</w:t>
      </w:r>
      <w:r w:rsidR="00912F3F" w:rsidRPr="00EF1AF6">
        <w:rPr>
          <w:color w:val="000000" w:themeColor="text1"/>
          <w:sz w:val="22"/>
          <w:szCs w:val="22"/>
          <w:lang w:val="ru-MD"/>
        </w:rPr>
        <w:t xml:space="preserve"> </w:t>
      </w:r>
      <w:r w:rsidRPr="00EF1AF6">
        <w:rPr>
          <w:color w:val="000000" w:themeColor="text1"/>
          <w:sz w:val="22"/>
          <w:szCs w:val="22"/>
          <w:lang w:val="ru-MD"/>
        </w:rPr>
        <w:t>слово «контрагент</w:t>
      </w:r>
      <w:r w:rsidR="00EF1AF6" w:rsidRPr="00EF1AF6">
        <w:rPr>
          <w:color w:val="000000" w:themeColor="text1"/>
          <w:sz w:val="22"/>
          <w:szCs w:val="22"/>
          <w:lang w:val="ru-MD"/>
        </w:rPr>
        <w:t>ом</w:t>
      </w:r>
      <w:r w:rsidRPr="00EF1AF6">
        <w:rPr>
          <w:color w:val="000000" w:themeColor="text1"/>
          <w:sz w:val="22"/>
          <w:szCs w:val="22"/>
          <w:lang w:val="ru-MD"/>
        </w:rPr>
        <w:t>» заменить словом «дебитор</w:t>
      </w:r>
      <w:r w:rsidR="00EF1AF6" w:rsidRPr="00EF1AF6">
        <w:rPr>
          <w:color w:val="000000" w:themeColor="text1"/>
          <w:sz w:val="22"/>
          <w:szCs w:val="22"/>
          <w:lang w:val="ru-MD"/>
        </w:rPr>
        <w:t>ом</w:t>
      </w:r>
      <w:r w:rsidRPr="00EF1AF6">
        <w:rPr>
          <w:color w:val="000000" w:themeColor="text1"/>
          <w:sz w:val="22"/>
          <w:szCs w:val="22"/>
          <w:lang w:val="ru-MD"/>
        </w:rPr>
        <w:t>»</w:t>
      </w:r>
      <w:r w:rsidR="00912F3F" w:rsidRPr="00EF1AF6">
        <w:rPr>
          <w:color w:val="000000" w:themeColor="text1"/>
          <w:sz w:val="22"/>
          <w:szCs w:val="22"/>
          <w:lang w:val="ru-MD"/>
        </w:rPr>
        <w:t>.</w:t>
      </w:r>
    </w:p>
    <w:p w14:paraId="68E08BA8" w14:textId="6BAF8E2A" w:rsidR="00124F8F" w:rsidRPr="00EF1AF6" w:rsidRDefault="00EF1AF6" w:rsidP="00D92B2C">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EF1AF6">
        <w:rPr>
          <w:color w:val="000000" w:themeColor="text1"/>
          <w:sz w:val="22"/>
          <w:szCs w:val="22"/>
          <w:lang w:val="ru-MD"/>
        </w:rPr>
        <w:t>В пункте</w:t>
      </w:r>
      <w:r w:rsidR="00124F8F" w:rsidRPr="00EF1AF6">
        <w:rPr>
          <w:color w:val="000000" w:themeColor="text1"/>
          <w:sz w:val="22"/>
          <w:szCs w:val="22"/>
          <w:lang w:val="ru-MD"/>
        </w:rPr>
        <w:t xml:space="preserve"> 61:</w:t>
      </w:r>
    </w:p>
    <w:p w14:paraId="34EE6006" w14:textId="3585074E" w:rsidR="00CA6306" w:rsidRPr="00BE62DC" w:rsidRDefault="00EF1AF6" w:rsidP="00EE3412">
      <w:pPr>
        <w:pStyle w:val="ListParagraph"/>
        <w:numPr>
          <w:ilvl w:val="2"/>
          <w:numId w:val="27"/>
        </w:numPr>
        <w:tabs>
          <w:tab w:val="left" w:pos="0"/>
        </w:tabs>
        <w:spacing w:before="80"/>
        <w:ind w:left="0" w:firstLine="567"/>
        <w:contextualSpacing w:val="0"/>
        <w:jc w:val="both"/>
        <w:rPr>
          <w:color w:val="000000" w:themeColor="text1"/>
          <w:sz w:val="22"/>
          <w:szCs w:val="22"/>
          <w:lang w:val="ro-MD"/>
        </w:rPr>
      </w:pPr>
      <w:r w:rsidRPr="00BE62DC">
        <w:rPr>
          <w:color w:val="000000" w:themeColor="text1"/>
          <w:sz w:val="22"/>
          <w:szCs w:val="22"/>
          <w:lang w:val="ru-MD"/>
        </w:rPr>
        <w:t>во вводной части после текста «</w:t>
      </w:r>
      <w:r w:rsidR="00750DA3" w:rsidRPr="00750DA3">
        <w:rPr>
          <w:color w:val="000000" w:themeColor="text1"/>
          <w:sz w:val="22"/>
          <w:szCs w:val="22"/>
          <w:lang w:val="ru-MD"/>
        </w:rPr>
        <w:t>требования, предусмотренные</w:t>
      </w:r>
      <w:r w:rsidR="006E6415" w:rsidRPr="00BE62DC">
        <w:rPr>
          <w:sz w:val="22"/>
          <w:szCs w:val="22"/>
          <w:lang w:val="ru-RU" w:eastAsia="ro-MD"/>
        </w:rPr>
        <w:t xml:space="preserve">» дополнить текстом </w:t>
      </w:r>
      <w:proofErr w:type="gramStart"/>
      <w:r w:rsidR="006E6415" w:rsidRPr="00BE62DC">
        <w:rPr>
          <w:sz w:val="22"/>
          <w:szCs w:val="22"/>
          <w:lang w:val="ru-RU" w:eastAsia="ro-MD"/>
        </w:rPr>
        <w:t xml:space="preserve">« </w:t>
      </w:r>
      <w:proofErr w:type="spellStart"/>
      <w:r w:rsidR="006E6415" w:rsidRPr="00BE62DC">
        <w:rPr>
          <w:sz w:val="22"/>
          <w:szCs w:val="22"/>
          <w:lang w:val="ru-RU" w:eastAsia="ro-MD"/>
        </w:rPr>
        <w:t>п.с</w:t>
      </w:r>
      <w:proofErr w:type="spellEnd"/>
      <w:proofErr w:type="gramEnd"/>
      <w:r w:rsidR="006E6415" w:rsidRPr="00BE62DC">
        <w:rPr>
          <w:sz w:val="22"/>
          <w:szCs w:val="22"/>
          <w:lang w:val="ru-RU" w:eastAsia="ro-MD"/>
        </w:rPr>
        <w:t xml:space="preserve">) подпункта 3) пункта </w:t>
      </w:r>
      <w:r w:rsidR="00124F8F" w:rsidRPr="00BE62DC">
        <w:rPr>
          <w:color w:val="000000" w:themeColor="text1"/>
          <w:sz w:val="22"/>
          <w:szCs w:val="22"/>
          <w:lang w:val="ro-RO" w:eastAsia="ro-MD"/>
        </w:rPr>
        <w:t>53</w:t>
      </w:r>
      <w:r w:rsidR="00750DA3">
        <w:rPr>
          <w:color w:val="000000" w:themeColor="text1"/>
          <w:sz w:val="22"/>
          <w:szCs w:val="22"/>
          <w:lang w:val="ru-RU" w:eastAsia="ro-MD"/>
        </w:rPr>
        <w:t xml:space="preserve"> </w:t>
      </w:r>
      <w:r w:rsidR="00750DA3" w:rsidRPr="00750DA3">
        <w:rPr>
          <w:color w:val="000000" w:themeColor="text1"/>
          <w:sz w:val="22"/>
          <w:szCs w:val="22"/>
          <w:lang w:val="ru-MD"/>
        </w:rPr>
        <w:t>и</w:t>
      </w:r>
      <w:r w:rsidR="006E6415" w:rsidRPr="00BE62DC">
        <w:rPr>
          <w:color w:val="000000" w:themeColor="text1"/>
          <w:sz w:val="22"/>
          <w:szCs w:val="22"/>
          <w:lang w:val="ru-RU" w:eastAsia="ro-MD"/>
        </w:rPr>
        <w:t>»</w:t>
      </w:r>
      <w:r w:rsidR="00124F8F" w:rsidRPr="00BE62DC">
        <w:rPr>
          <w:color w:val="000000" w:themeColor="text1"/>
          <w:sz w:val="22"/>
          <w:szCs w:val="22"/>
          <w:lang w:val="ro-RO" w:eastAsia="ro-MD"/>
        </w:rPr>
        <w:t>;</w:t>
      </w:r>
    </w:p>
    <w:p w14:paraId="6DCE0E6D" w14:textId="19C1CD02" w:rsidR="00124F8F" w:rsidRPr="00C55B1B" w:rsidRDefault="005F38BD" w:rsidP="00EE3412">
      <w:pPr>
        <w:pStyle w:val="ListParagraph"/>
        <w:numPr>
          <w:ilvl w:val="2"/>
          <w:numId w:val="27"/>
        </w:numPr>
        <w:tabs>
          <w:tab w:val="left" w:pos="0"/>
        </w:tabs>
        <w:spacing w:before="80"/>
        <w:ind w:left="0" w:firstLine="567"/>
        <w:contextualSpacing w:val="0"/>
        <w:jc w:val="both"/>
        <w:rPr>
          <w:color w:val="000000" w:themeColor="text1"/>
          <w:sz w:val="22"/>
          <w:szCs w:val="22"/>
          <w:lang w:val="ru-RU"/>
        </w:rPr>
      </w:pPr>
      <w:r w:rsidRPr="00C55B1B">
        <w:rPr>
          <w:color w:val="000000" w:themeColor="text1"/>
          <w:sz w:val="22"/>
          <w:szCs w:val="22"/>
          <w:lang w:val="ru-RU"/>
        </w:rPr>
        <w:t>подпункт 1) в начале дополнить текстом «в случае наступления состояния невозврата или невыполнения обязательств первоначальным должником,»;</w:t>
      </w:r>
    </w:p>
    <w:p w14:paraId="15763AE9" w14:textId="30FDF58C" w:rsidR="00100621" w:rsidRPr="00884D1F" w:rsidRDefault="005F38BD" w:rsidP="00EE3412">
      <w:pPr>
        <w:pStyle w:val="ListParagraph"/>
        <w:numPr>
          <w:ilvl w:val="2"/>
          <w:numId w:val="27"/>
        </w:numPr>
        <w:tabs>
          <w:tab w:val="left" w:pos="0"/>
        </w:tabs>
        <w:spacing w:before="80"/>
        <w:ind w:left="0" w:firstLine="567"/>
        <w:contextualSpacing w:val="0"/>
        <w:jc w:val="both"/>
        <w:rPr>
          <w:color w:val="000000" w:themeColor="text1"/>
          <w:sz w:val="22"/>
          <w:szCs w:val="22"/>
          <w:lang w:val="ro-MD"/>
        </w:rPr>
      </w:pPr>
      <w:r>
        <w:rPr>
          <w:color w:val="000000" w:themeColor="text1"/>
          <w:sz w:val="22"/>
          <w:szCs w:val="22"/>
          <w:lang w:val="ru-RU" w:eastAsia="ro-MD"/>
        </w:rPr>
        <w:t>подпункт</w:t>
      </w:r>
      <w:r w:rsidR="00100621" w:rsidRPr="00884D1F">
        <w:rPr>
          <w:color w:val="000000" w:themeColor="text1"/>
          <w:sz w:val="22"/>
          <w:szCs w:val="22"/>
          <w:lang w:val="ro-RO" w:eastAsia="ro-MD"/>
        </w:rPr>
        <w:t xml:space="preserve"> 2) </w:t>
      </w:r>
      <w:r w:rsidR="00C55B1B">
        <w:rPr>
          <w:color w:val="000000" w:themeColor="text1"/>
          <w:sz w:val="22"/>
          <w:szCs w:val="22"/>
          <w:lang w:val="ru-RU" w:eastAsia="ro-MD"/>
        </w:rPr>
        <w:t>дополнить</w:t>
      </w:r>
      <w:r w:rsidR="00C55B1B" w:rsidRPr="00C55B1B">
        <w:rPr>
          <w:color w:val="000000" w:themeColor="text1"/>
          <w:sz w:val="22"/>
          <w:szCs w:val="22"/>
          <w:lang w:val="ru-RU" w:eastAsia="ro-MD"/>
        </w:rPr>
        <w:t xml:space="preserve"> «; данное обоснование должным образом задокументировано и подлежит специальным внутренним процедурам утверждения и аудита.».</w:t>
      </w:r>
    </w:p>
    <w:p w14:paraId="75F18D96" w14:textId="37024838" w:rsidR="00881A1C" w:rsidRPr="00A5435B" w:rsidRDefault="008C7311" w:rsidP="00881A1C">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A5435B">
        <w:rPr>
          <w:color w:val="000000" w:themeColor="text1"/>
          <w:sz w:val="22"/>
          <w:szCs w:val="22"/>
          <w:lang w:val="ru-RU"/>
        </w:rPr>
        <w:t xml:space="preserve">Дополнить пунктом </w:t>
      </w:r>
      <w:r w:rsidR="00100621" w:rsidRPr="00A5435B">
        <w:rPr>
          <w:color w:val="000000" w:themeColor="text1"/>
          <w:sz w:val="22"/>
          <w:szCs w:val="22"/>
          <w:lang w:val="ru-RU"/>
        </w:rPr>
        <w:t>64</w:t>
      </w:r>
      <w:r w:rsidR="00100621" w:rsidRPr="00A5435B">
        <w:rPr>
          <w:color w:val="000000" w:themeColor="text1"/>
          <w:sz w:val="22"/>
          <w:szCs w:val="22"/>
          <w:vertAlign w:val="superscript"/>
          <w:lang w:val="ru-RU"/>
        </w:rPr>
        <w:t>1</w:t>
      </w:r>
      <w:r w:rsidR="00100621" w:rsidRPr="00A5435B">
        <w:rPr>
          <w:color w:val="000000" w:themeColor="text1"/>
          <w:sz w:val="22"/>
          <w:szCs w:val="22"/>
          <w:lang w:val="ru-RU"/>
        </w:rPr>
        <w:t xml:space="preserve"> </w:t>
      </w:r>
      <w:r w:rsidRPr="00A5435B">
        <w:rPr>
          <w:color w:val="000000" w:themeColor="text1"/>
          <w:sz w:val="22"/>
          <w:szCs w:val="22"/>
          <w:lang w:val="ru-RU"/>
        </w:rPr>
        <w:t>следующего содержания</w:t>
      </w:r>
      <w:r w:rsidR="00881A1C" w:rsidRPr="00A5435B">
        <w:rPr>
          <w:color w:val="000000" w:themeColor="text1"/>
          <w:sz w:val="22"/>
          <w:szCs w:val="22"/>
          <w:lang w:val="ru-RU"/>
        </w:rPr>
        <w:t xml:space="preserve">: </w:t>
      </w:r>
    </w:p>
    <w:p w14:paraId="372AE5A5" w14:textId="2566E49F" w:rsidR="00EC0A5E" w:rsidRPr="00A5435B" w:rsidRDefault="00BF70B2" w:rsidP="00EC0A5E">
      <w:pPr>
        <w:jc w:val="both"/>
        <w:rPr>
          <w:color w:val="000000" w:themeColor="text1"/>
          <w:sz w:val="22"/>
          <w:szCs w:val="22"/>
          <w:lang w:val="ru-RU" w:eastAsia="ro-MD"/>
        </w:rPr>
      </w:pPr>
      <w:r w:rsidRPr="00A5435B">
        <w:rPr>
          <w:b/>
          <w:bCs/>
          <w:color w:val="000000" w:themeColor="text1"/>
          <w:sz w:val="22"/>
          <w:szCs w:val="22"/>
          <w:lang w:val="ru-RU" w:eastAsia="ro-MD"/>
        </w:rPr>
        <w:t>«</w:t>
      </w:r>
      <w:r w:rsidR="00EC0A5E" w:rsidRPr="00A5435B">
        <w:rPr>
          <w:b/>
          <w:bCs/>
          <w:color w:val="000000" w:themeColor="text1"/>
          <w:sz w:val="22"/>
          <w:szCs w:val="22"/>
          <w:lang w:val="ru-RU" w:eastAsia="ro-MD"/>
        </w:rPr>
        <w:t>64</w:t>
      </w:r>
      <w:r w:rsidR="00EC0A5E" w:rsidRPr="00A5435B">
        <w:rPr>
          <w:b/>
          <w:bCs/>
          <w:color w:val="000000" w:themeColor="text1"/>
          <w:sz w:val="22"/>
          <w:szCs w:val="22"/>
          <w:vertAlign w:val="superscript"/>
          <w:lang w:val="ru-RU" w:eastAsia="ro-MD"/>
        </w:rPr>
        <w:t>1</w:t>
      </w:r>
      <w:r w:rsidR="00EC0A5E" w:rsidRPr="00A5435B">
        <w:rPr>
          <w:b/>
          <w:bCs/>
          <w:color w:val="000000" w:themeColor="text1"/>
          <w:sz w:val="22"/>
          <w:szCs w:val="22"/>
          <w:lang w:val="ru-RU" w:eastAsia="ro-MD"/>
        </w:rPr>
        <w:t>.</w:t>
      </w:r>
      <w:r w:rsidR="00EC0A5E" w:rsidRPr="00A5435B">
        <w:rPr>
          <w:color w:val="000000" w:themeColor="text1"/>
          <w:sz w:val="22"/>
          <w:szCs w:val="22"/>
          <w:lang w:val="ru-RU" w:eastAsia="ro-MD"/>
        </w:rPr>
        <w:t xml:space="preserve"> </w:t>
      </w:r>
      <w:r w:rsidR="006B7B03" w:rsidRPr="00A5435B">
        <w:rPr>
          <w:color w:val="000000" w:themeColor="text1"/>
          <w:sz w:val="22"/>
          <w:szCs w:val="22"/>
          <w:lang w:val="ru-RU" w:eastAsia="ro-MD"/>
        </w:rPr>
        <w:t>В отступление от пункта 62, в отношении подверженности перед обществами, обеспеченной кредитным производным финансовым инструментом, не требуется, чтобы кредитное событие, указанное в пункте с)  подпункта 1) пункта 62, было оговорено в договоре о производном инструменте, если совокупно выполняются следующие условия</w:t>
      </w:r>
      <w:r w:rsidR="00EC0A5E" w:rsidRPr="00A5435B">
        <w:rPr>
          <w:color w:val="000000" w:themeColor="text1"/>
          <w:sz w:val="22"/>
          <w:szCs w:val="22"/>
          <w:lang w:val="ru-RU" w:eastAsia="ro-MD"/>
        </w:rPr>
        <w:t>:</w:t>
      </w:r>
    </w:p>
    <w:p w14:paraId="03B8AEAE" w14:textId="030B5C2E" w:rsidR="00EC0A5E" w:rsidRPr="00A5435B" w:rsidRDefault="00EC0A5E" w:rsidP="00EC0A5E">
      <w:pPr>
        <w:ind w:firstLine="567"/>
        <w:jc w:val="both"/>
        <w:rPr>
          <w:color w:val="000000" w:themeColor="text1"/>
          <w:sz w:val="22"/>
          <w:szCs w:val="22"/>
          <w:lang w:val="ru-RU" w:eastAsia="ro-MD"/>
        </w:rPr>
      </w:pPr>
      <w:r w:rsidRPr="00A5435B">
        <w:rPr>
          <w:color w:val="000000" w:themeColor="text1"/>
          <w:sz w:val="22"/>
          <w:szCs w:val="22"/>
          <w:lang w:val="ru-RU" w:eastAsia="ro-MD"/>
        </w:rPr>
        <w:t xml:space="preserve">1) </w:t>
      </w:r>
      <w:r w:rsidR="00CF60A5" w:rsidRPr="00A5435B">
        <w:rPr>
          <w:color w:val="000000" w:themeColor="text1"/>
          <w:sz w:val="22"/>
          <w:szCs w:val="22"/>
          <w:lang w:val="ru-RU" w:eastAsia="ro-MD"/>
        </w:rPr>
        <w:t>для изменения срока погашения, основной суммы, купона, валюты или приоритета базового актива, связанного с корпоративными ценными бумагами, требуется 100% голосов</w:t>
      </w:r>
      <w:r w:rsidRPr="00A5435B">
        <w:rPr>
          <w:color w:val="000000" w:themeColor="text1"/>
          <w:sz w:val="22"/>
          <w:szCs w:val="22"/>
          <w:lang w:val="ru-RU" w:eastAsia="ro-MD"/>
        </w:rPr>
        <w:t>;</w:t>
      </w:r>
    </w:p>
    <w:p w14:paraId="15BD4B5D" w14:textId="77777777" w:rsidR="00A5435B" w:rsidRPr="00A5435B" w:rsidRDefault="00EC0A5E" w:rsidP="00A5435B">
      <w:pPr>
        <w:ind w:firstLine="567"/>
        <w:jc w:val="both"/>
        <w:rPr>
          <w:color w:val="000000" w:themeColor="text1"/>
          <w:sz w:val="22"/>
          <w:szCs w:val="22"/>
          <w:lang w:val="ru-RU" w:eastAsia="ro-MD"/>
        </w:rPr>
      </w:pPr>
      <w:r w:rsidRPr="00A5435B">
        <w:rPr>
          <w:color w:val="000000" w:themeColor="text1"/>
          <w:sz w:val="22"/>
          <w:szCs w:val="22"/>
          <w:lang w:val="ru-RU" w:eastAsia="ro-MD"/>
        </w:rPr>
        <w:t xml:space="preserve">2) </w:t>
      </w:r>
      <w:r w:rsidR="00A5435B" w:rsidRPr="00A5435B">
        <w:rPr>
          <w:color w:val="000000" w:themeColor="text1"/>
          <w:sz w:val="22"/>
          <w:szCs w:val="22"/>
          <w:lang w:val="ru-RU" w:eastAsia="ro-MD"/>
        </w:rPr>
        <w:t>в юрисдикции, где регулируется подверженность перед обществами, действует четко установленное законодательство о банкротстве, которое позволяет обществу провести реорганизацию и реструктуризацию и предусматривает упорядоченное погашение требований кредиторов.</w:t>
      </w:r>
    </w:p>
    <w:p w14:paraId="5F12047A" w14:textId="46187C91" w:rsidR="00EC0A5E" w:rsidRPr="00A5435B" w:rsidRDefault="00A5435B" w:rsidP="00A5435B">
      <w:pPr>
        <w:ind w:firstLine="567"/>
        <w:jc w:val="both"/>
        <w:rPr>
          <w:color w:val="000000" w:themeColor="text1"/>
          <w:sz w:val="22"/>
          <w:szCs w:val="22"/>
          <w:lang w:val="ru-RU" w:eastAsia="ro-MD"/>
        </w:rPr>
      </w:pPr>
      <w:r w:rsidRPr="00A5435B">
        <w:rPr>
          <w:color w:val="000000" w:themeColor="text1"/>
          <w:sz w:val="22"/>
          <w:szCs w:val="22"/>
          <w:lang w:val="ru-RU" w:eastAsia="ro-MD"/>
        </w:rPr>
        <w:t>В случае, если условия, предусмотренные в подпунктах 1) и 2), не выполняются, кредитная защита все же может быть приемлемой при условии снижения стоимости, как указано в пункте 111</w:t>
      </w:r>
      <w:r w:rsidR="00EC0A5E" w:rsidRPr="00A5435B">
        <w:rPr>
          <w:color w:val="000000" w:themeColor="text1"/>
          <w:sz w:val="22"/>
          <w:szCs w:val="22"/>
          <w:lang w:val="ru-RU" w:eastAsia="ro-MD"/>
        </w:rPr>
        <w:t>.</w:t>
      </w:r>
      <w:r w:rsidRPr="00A5435B">
        <w:rPr>
          <w:color w:val="000000" w:themeColor="text1"/>
          <w:sz w:val="22"/>
          <w:szCs w:val="22"/>
          <w:lang w:val="ru-RU" w:eastAsia="ro-MD"/>
        </w:rPr>
        <w:t>».</w:t>
      </w:r>
    </w:p>
    <w:p w14:paraId="60545C23" w14:textId="2BAC5372" w:rsidR="00D416E6" w:rsidRPr="00C77587" w:rsidRDefault="00041A1F" w:rsidP="001567B9">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C77587">
        <w:rPr>
          <w:color w:val="000000" w:themeColor="text1"/>
          <w:sz w:val="22"/>
          <w:szCs w:val="22"/>
          <w:lang w:val="ru-RU"/>
        </w:rPr>
        <w:t xml:space="preserve">В пункте </w:t>
      </w:r>
      <w:r w:rsidR="001567B9" w:rsidRPr="00C77587">
        <w:rPr>
          <w:color w:val="000000" w:themeColor="text1"/>
          <w:sz w:val="22"/>
          <w:szCs w:val="22"/>
          <w:lang w:val="ru-RU"/>
        </w:rPr>
        <w:t>65</w:t>
      </w:r>
      <w:r w:rsidRPr="00C77587">
        <w:rPr>
          <w:color w:val="000000" w:themeColor="text1"/>
          <w:sz w:val="22"/>
          <w:szCs w:val="22"/>
          <w:lang w:val="ru-RU"/>
        </w:rPr>
        <w:t xml:space="preserve"> слова «</w:t>
      </w:r>
      <w:r w:rsidR="00560A1E" w:rsidRPr="00C77587">
        <w:rPr>
          <w:sz w:val="22"/>
          <w:szCs w:val="22"/>
          <w:lang w:val="ru-RU" w:eastAsia="ro-MD"/>
        </w:rPr>
        <w:t>и выражены в той же валюте» исключить</w:t>
      </w:r>
      <w:r w:rsidR="001567B9" w:rsidRPr="00C77587">
        <w:rPr>
          <w:color w:val="000000" w:themeColor="text1"/>
          <w:sz w:val="22"/>
          <w:szCs w:val="22"/>
          <w:lang w:val="ru-RU"/>
        </w:rPr>
        <w:t>.</w:t>
      </w:r>
    </w:p>
    <w:p w14:paraId="07E1A8AC" w14:textId="409E178E" w:rsidR="00242BCF" w:rsidRPr="00C77587" w:rsidRDefault="00560A1E" w:rsidP="001F56A6">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C77587">
        <w:rPr>
          <w:color w:val="000000" w:themeColor="text1"/>
          <w:sz w:val="22"/>
          <w:szCs w:val="22"/>
          <w:lang w:val="ru-RU"/>
        </w:rPr>
        <w:t>В пункте</w:t>
      </w:r>
      <w:r w:rsidR="00D416E6" w:rsidRPr="00C77587">
        <w:rPr>
          <w:color w:val="000000" w:themeColor="text1"/>
          <w:sz w:val="22"/>
          <w:szCs w:val="22"/>
          <w:lang w:val="ru-RU"/>
        </w:rPr>
        <w:t xml:space="preserve"> </w:t>
      </w:r>
      <w:r w:rsidR="00010541" w:rsidRPr="00C77587">
        <w:rPr>
          <w:color w:val="000000" w:themeColor="text1"/>
          <w:sz w:val="22"/>
          <w:szCs w:val="22"/>
          <w:lang w:val="ru-RU"/>
        </w:rPr>
        <w:t>68</w:t>
      </w:r>
      <w:r w:rsidRPr="00C77587">
        <w:rPr>
          <w:color w:val="000000" w:themeColor="text1"/>
          <w:sz w:val="22"/>
          <w:szCs w:val="22"/>
          <w:lang w:val="ru-RU"/>
        </w:rPr>
        <w:t xml:space="preserve"> текст «</w:t>
      </w:r>
      <w:r w:rsidR="003C4EA3" w:rsidRPr="00C77587">
        <w:rPr>
          <w:sz w:val="22"/>
          <w:szCs w:val="22"/>
          <w:lang w:val="ru-RU" w:eastAsia="ro-MD"/>
        </w:rPr>
        <w:t xml:space="preserve">сделки выкупа или операции дачи или принятия ценных бумаг или товаров взаймы» заменить текстом «операции </w:t>
      </w:r>
      <w:r w:rsidR="00C77587" w:rsidRPr="00C77587">
        <w:rPr>
          <w:sz w:val="22"/>
          <w:szCs w:val="22"/>
          <w:lang w:val="ru-RU" w:eastAsia="ro-MD"/>
        </w:rPr>
        <w:t>по финансированию с использованием финансовых инструментов»</w:t>
      </w:r>
      <w:r w:rsidR="00F36DB2" w:rsidRPr="00C77587">
        <w:rPr>
          <w:color w:val="000000" w:themeColor="text1"/>
          <w:sz w:val="22"/>
          <w:szCs w:val="22"/>
          <w:lang w:val="ru-RU" w:eastAsia="ro-MD"/>
        </w:rPr>
        <w:t>.</w:t>
      </w:r>
    </w:p>
    <w:p w14:paraId="07D7597D" w14:textId="3A0E24F9" w:rsidR="00D416E6" w:rsidRPr="00884D1F" w:rsidRDefault="00C77587" w:rsidP="00D92B2C">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 пункте</w:t>
      </w:r>
      <w:r w:rsidR="00D416E6" w:rsidRPr="00884D1F">
        <w:rPr>
          <w:color w:val="000000" w:themeColor="text1"/>
          <w:sz w:val="22"/>
          <w:szCs w:val="22"/>
          <w:lang w:val="ro-MD"/>
        </w:rPr>
        <w:t xml:space="preserve"> </w:t>
      </w:r>
      <w:r w:rsidR="00010541" w:rsidRPr="00884D1F">
        <w:rPr>
          <w:color w:val="000000" w:themeColor="text1"/>
          <w:sz w:val="22"/>
          <w:szCs w:val="22"/>
          <w:lang w:val="ro-MD"/>
        </w:rPr>
        <w:t>69</w:t>
      </w:r>
      <w:r>
        <w:rPr>
          <w:color w:val="000000" w:themeColor="text1"/>
          <w:sz w:val="22"/>
          <w:szCs w:val="22"/>
          <w:lang w:val="ru-RU"/>
        </w:rPr>
        <w:t xml:space="preserve"> подпункт</w:t>
      </w:r>
      <w:r w:rsidR="00010541" w:rsidRPr="00884D1F">
        <w:rPr>
          <w:color w:val="000000" w:themeColor="text1"/>
          <w:sz w:val="22"/>
          <w:szCs w:val="22"/>
          <w:lang w:val="ro-MD"/>
        </w:rPr>
        <w:t xml:space="preserve"> 3)</w:t>
      </w:r>
      <w:r w:rsidR="0008627B" w:rsidRPr="00884D1F">
        <w:rPr>
          <w:color w:val="000000" w:themeColor="text1"/>
          <w:sz w:val="22"/>
          <w:szCs w:val="22"/>
          <w:lang w:val="ro-MD"/>
        </w:rPr>
        <w:t xml:space="preserve"> </w:t>
      </w:r>
      <w:r>
        <w:rPr>
          <w:color w:val="000000" w:themeColor="text1"/>
          <w:sz w:val="22"/>
          <w:szCs w:val="22"/>
          <w:lang w:val="ru-RU"/>
        </w:rPr>
        <w:t>изложить в следующей редакции</w:t>
      </w:r>
      <w:r w:rsidR="00A42B1F" w:rsidRPr="00884D1F">
        <w:rPr>
          <w:color w:val="000000" w:themeColor="text1"/>
          <w:sz w:val="22"/>
          <w:szCs w:val="22"/>
          <w:lang w:val="ro-MD"/>
        </w:rPr>
        <w:t>:</w:t>
      </w:r>
    </w:p>
    <w:p w14:paraId="66E51FF3" w14:textId="2FB8185F" w:rsidR="00A42B1F" w:rsidRPr="004E46A6" w:rsidRDefault="00C77587" w:rsidP="00A42B1F">
      <w:pPr>
        <w:tabs>
          <w:tab w:val="left" w:pos="567"/>
        </w:tabs>
        <w:spacing w:before="80"/>
        <w:jc w:val="both"/>
        <w:rPr>
          <w:color w:val="000000" w:themeColor="text1"/>
          <w:sz w:val="22"/>
          <w:szCs w:val="22"/>
          <w:lang w:val="ru-RU"/>
        </w:rPr>
      </w:pPr>
      <w:r w:rsidRPr="004E46A6">
        <w:rPr>
          <w:color w:val="000000" w:themeColor="text1"/>
          <w:sz w:val="22"/>
          <w:szCs w:val="22"/>
          <w:lang w:val="ru-RU" w:eastAsia="ro-MD"/>
        </w:rPr>
        <w:t>«</w:t>
      </w:r>
      <w:r w:rsidR="00010541" w:rsidRPr="004E46A6">
        <w:rPr>
          <w:color w:val="000000" w:themeColor="text1"/>
          <w:sz w:val="22"/>
          <w:szCs w:val="22"/>
          <w:lang w:val="ru-RU" w:eastAsia="ro-MD"/>
        </w:rPr>
        <w:t xml:space="preserve">3) </w:t>
      </w:r>
      <w:r w:rsidR="004E46A6" w:rsidRPr="004E46A6">
        <w:rPr>
          <w:color w:val="000000" w:themeColor="text1"/>
          <w:sz w:val="22"/>
          <w:szCs w:val="22"/>
          <w:lang w:val="ru-RU" w:eastAsia="ro-MD"/>
        </w:rPr>
        <w:t>применяют величину корректировки на волатильность или, в соответствующих случаях, абсолютную величину корректировки на волатильность, применимую к определенной группе ценных бумаг или к определенному виду товаров, к абсолютной величине положительной или отрицательной чистой позиции по ценным бумагам данной группы или по товарам данного вида</w:t>
      </w:r>
      <w:r w:rsidR="00010541" w:rsidRPr="004E46A6">
        <w:rPr>
          <w:color w:val="000000" w:themeColor="text1"/>
          <w:sz w:val="22"/>
          <w:szCs w:val="22"/>
          <w:lang w:val="ru-RU" w:eastAsia="ro-MD"/>
        </w:rPr>
        <w:t>;</w:t>
      </w:r>
      <w:r w:rsidR="004E46A6" w:rsidRPr="004E46A6">
        <w:rPr>
          <w:color w:val="000000" w:themeColor="text1"/>
          <w:sz w:val="22"/>
          <w:szCs w:val="22"/>
          <w:lang w:val="ru-RU" w:eastAsia="ro-MD"/>
        </w:rPr>
        <w:t>»</w:t>
      </w:r>
      <w:r w:rsidR="00A42B1F" w:rsidRPr="004E46A6">
        <w:rPr>
          <w:color w:val="000000" w:themeColor="text1"/>
          <w:sz w:val="22"/>
          <w:szCs w:val="22"/>
          <w:lang w:val="ru-RU" w:eastAsia="ro-MD"/>
        </w:rPr>
        <w:t>.</w:t>
      </w:r>
    </w:p>
    <w:p w14:paraId="541FBDDB" w14:textId="697ED63A" w:rsidR="00831AF6" w:rsidRPr="00884D1F" w:rsidRDefault="004E46A6" w:rsidP="00831AF6">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Пункт</w:t>
      </w:r>
      <w:r w:rsidR="006F2AB2" w:rsidRPr="00884D1F">
        <w:rPr>
          <w:color w:val="000000" w:themeColor="text1"/>
          <w:sz w:val="22"/>
          <w:szCs w:val="22"/>
          <w:lang w:val="ro-MD"/>
        </w:rPr>
        <w:t xml:space="preserve"> 70 </w:t>
      </w:r>
      <w:r>
        <w:rPr>
          <w:color w:val="000000" w:themeColor="text1"/>
          <w:sz w:val="22"/>
          <w:szCs w:val="22"/>
          <w:lang w:val="ru-RU"/>
        </w:rPr>
        <w:t>изложить в следующей редакции</w:t>
      </w:r>
      <w:r w:rsidR="00831AF6" w:rsidRPr="00884D1F">
        <w:rPr>
          <w:color w:val="000000" w:themeColor="text1"/>
          <w:sz w:val="22"/>
          <w:szCs w:val="22"/>
          <w:lang w:val="ro-MD"/>
        </w:rPr>
        <w:t>:</w:t>
      </w:r>
    </w:p>
    <w:p w14:paraId="1449CDB2" w14:textId="3B46BBD6" w:rsidR="006F2AB2" w:rsidRPr="004E46A6" w:rsidRDefault="004E46A6" w:rsidP="006F2AB2">
      <w:pPr>
        <w:jc w:val="both"/>
        <w:rPr>
          <w:color w:val="000000" w:themeColor="text1"/>
          <w:sz w:val="22"/>
          <w:szCs w:val="22"/>
          <w:lang w:val="ru-MD" w:eastAsia="ro-MD"/>
        </w:rPr>
      </w:pPr>
      <w:r w:rsidRPr="004E46A6">
        <w:rPr>
          <w:color w:val="000000" w:themeColor="text1"/>
          <w:sz w:val="22"/>
          <w:szCs w:val="22"/>
          <w:lang w:val="ru-MD"/>
        </w:rPr>
        <w:t>«</w:t>
      </w:r>
      <w:r w:rsidR="006F2AB2" w:rsidRPr="004E46A6">
        <w:rPr>
          <w:b/>
          <w:bCs/>
          <w:color w:val="000000" w:themeColor="text1"/>
          <w:sz w:val="22"/>
          <w:szCs w:val="22"/>
          <w:lang w:val="ru-MD" w:eastAsia="ro-MD"/>
        </w:rPr>
        <w:t>70.</w:t>
      </w:r>
      <w:r w:rsidR="006F2AB2" w:rsidRPr="004E46A6">
        <w:rPr>
          <w:color w:val="000000" w:themeColor="text1"/>
          <w:sz w:val="22"/>
          <w:szCs w:val="22"/>
          <w:lang w:val="ru-MD" w:eastAsia="ro-MD"/>
        </w:rPr>
        <w:t xml:space="preserve"> </w:t>
      </w:r>
      <w:r w:rsidRPr="004E46A6">
        <w:rPr>
          <w:color w:val="000000" w:themeColor="text1"/>
          <w:sz w:val="22"/>
          <w:szCs w:val="22"/>
          <w:lang w:val="ru-MD" w:eastAsia="ro-MD"/>
        </w:rPr>
        <w:t>Банки должны рассчитывать полностью скорректированную величину подверженности (E*) по следующей формуле</w:t>
      </w:r>
      <w:r w:rsidR="006F2AB2" w:rsidRPr="004E46A6">
        <w:rPr>
          <w:color w:val="000000" w:themeColor="text1"/>
          <w:sz w:val="22"/>
          <w:szCs w:val="22"/>
          <w:lang w:val="ru-MD" w:eastAsia="ro-MD"/>
        </w:rPr>
        <w:t>:</w:t>
      </w:r>
    </w:p>
    <w:p w14:paraId="2D3BB3A4" w14:textId="77777777" w:rsidR="006F2AB2" w:rsidRPr="00884D1F" w:rsidRDefault="006F2AB2" w:rsidP="006F2AB2">
      <w:pPr>
        <w:jc w:val="both"/>
        <w:rPr>
          <w:color w:val="000000" w:themeColor="text1"/>
          <w:sz w:val="22"/>
          <w:szCs w:val="22"/>
          <w:lang w:val="ro-RO" w:eastAsia="ro-MD"/>
        </w:rPr>
      </w:pPr>
      <w:r w:rsidRPr="00884D1F">
        <w:rPr>
          <w:noProof/>
          <w:color w:val="000000" w:themeColor="text1"/>
          <w:sz w:val="22"/>
          <w:szCs w:val="22"/>
        </w:rPr>
        <w:lastRenderedPageBreak/>
        <w:drawing>
          <wp:inline distT="0" distB="0" distL="0" distR="0" wp14:anchorId="74B97736" wp14:editId="0A1F58BE">
            <wp:extent cx="5495925" cy="771525"/>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5925" cy="771525"/>
                    </a:xfrm>
                    <a:prstGeom prst="rect">
                      <a:avLst/>
                    </a:prstGeom>
                    <a:noFill/>
                    <a:ln>
                      <a:noFill/>
                    </a:ln>
                  </pic:spPr>
                </pic:pic>
              </a:graphicData>
            </a:graphic>
          </wp:inline>
        </w:drawing>
      </w:r>
      <w:r w:rsidRPr="00884D1F">
        <w:rPr>
          <w:color w:val="000000" w:themeColor="text1"/>
          <w:sz w:val="22"/>
          <w:szCs w:val="22"/>
          <w:lang w:val="ro-RO" w:eastAsia="ro-MD"/>
        </w:rPr>
        <w:t> </w:t>
      </w:r>
    </w:p>
    <w:p w14:paraId="666762E2" w14:textId="556408F4" w:rsidR="006F2AB2" w:rsidRPr="00884D1F" w:rsidRDefault="004E46A6" w:rsidP="006F2AB2">
      <w:pPr>
        <w:ind w:firstLine="567"/>
        <w:jc w:val="both"/>
        <w:rPr>
          <w:color w:val="000000" w:themeColor="text1"/>
          <w:sz w:val="22"/>
          <w:szCs w:val="22"/>
          <w:lang w:val="ro-RO" w:eastAsia="ro-MD"/>
        </w:rPr>
      </w:pPr>
      <w:r>
        <w:rPr>
          <w:color w:val="000000" w:themeColor="text1"/>
          <w:sz w:val="22"/>
          <w:szCs w:val="22"/>
          <w:lang w:val="ru-RU" w:eastAsia="ro-MD"/>
        </w:rPr>
        <w:t>где</w:t>
      </w:r>
      <w:r w:rsidR="006F2AB2" w:rsidRPr="00884D1F">
        <w:rPr>
          <w:color w:val="000000" w:themeColor="text1"/>
          <w:sz w:val="22"/>
          <w:szCs w:val="22"/>
          <w:lang w:val="ro-RO" w:eastAsia="ro-MD"/>
        </w:rPr>
        <w:t>:</w:t>
      </w:r>
    </w:p>
    <w:p w14:paraId="27495CCF" w14:textId="1D6801BD" w:rsidR="006F2AB2" w:rsidRPr="00B351BA" w:rsidRDefault="006F2AB2" w:rsidP="006F2AB2">
      <w:pPr>
        <w:ind w:firstLine="567"/>
        <w:jc w:val="both"/>
        <w:rPr>
          <w:color w:val="000000" w:themeColor="text1"/>
          <w:sz w:val="22"/>
          <w:szCs w:val="22"/>
          <w:lang w:val="ru-RU" w:eastAsia="ro-MD"/>
        </w:rPr>
      </w:pPr>
      <w:r w:rsidRPr="00B351BA">
        <w:rPr>
          <w:color w:val="000000" w:themeColor="text1"/>
          <w:sz w:val="22"/>
          <w:szCs w:val="22"/>
          <w:lang w:val="ru-RU" w:eastAsia="ro-MD"/>
        </w:rPr>
        <w:t xml:space="preserve">i = </w:t>
      </w:r>
      <w:r w:rsidR="000862F5" w:rsidRPr="00B351BA">
        <w:rPr>
          <w:color w:val="000000" w:themeColor="text1"/>
          <w:sz w:val="22"/>
          <w:szCs w:val="22"/>
          <w:lang w:val="ru-RU" w:eastAsia="ro-MD"/>
        </w:rPr>
        <w:t>индекс, обозначающий все ценные бумаги, товары или отдельные денежные позиции в рамках соглашения, которые переданы в заем, проданы с соглашением о выкупе или предоставлены банком контрагенту</w:t>
      </w:r>
      <w:r w:rsidRPr="00B351BA">
        <w:rPr>
          <w:color w:val="000000" w:themeColor="text1"/>
          <w:sz w:val="22"/>
          <w:szCs w:val="22"/>
          <w:lang w:val="ru-RU" w:eastAsia="ro-MD"/>
        </w:rPr>
        <w:t>;</w:t>
      </w:r>
    </w:p>
    <w:p w14:paraId="447A2978" w14:textId="1B55C99E" w:rsidR="006F2AB2" w:rsidRPr="00B351BA" w:rsidRDefault="006F2AB2" w:rsidP="006F2AB2">
      <w:pPr>
        <w:ind w:firstLine="567"/>
        <w:jc w:val="both"/>
        <w:rPr>
          <w:color w:val="000000" w:themeColor="text1"/>
          <w:sz w:val="22"/>
          <w:szCs w:val="22"/>
          <w:lang w:val="ru-RU" w:eastAsia="ro-MD"/>
        </w:rPr>
      </w:pPr>
      <w:r w:rsidRPr="00B351BA">
        <w:rPr>
          <w:color w:val="000000" w:themeColor="text1"/>
          <w:sz w:val="22"/>
          <w:szCs w:val="22"/>
          <w:lang w:val="ru-RU" w:eastAsia="ro-MD"/>
        </w:rPr>
        <w:t xml:space="preserve">j = </w:t>
      </w:r>
      <w:r w:rsidR="001A7F8A" w:rsidRPr="00B351BA">
        <w:rPr>
          <w:color w:val="000000" w:themeColor="text1"/>
          <w:sz w:val="22"/>
          <w:szCs w:val="22"/>
          <w:lang w:val="ru-RU" w:eastAsia="ro-MD"/>
        </w:rPr>
        <w:t>индекс, обозначающий все ценные бумаги, товары или отдельные денежные позиции в рамках соглашения, которые взяты в кредит, приобретены с обязательством перепродажи или находятся в собственности банка</w:t>
      </w:r>
      <w:r w:rsidRPr="00B351BA">
        <w:rPr>
          <w:color w:val="000000" w:themeColor="text1"/>
          <w:sz w:val="22"/>
          <w:szCs w:val="22"/>
          <w:lang w:val="ru-RU" w:eastAsia="ro-MD"/>
        </w:rPr>
        <w:t>;</w:t>
      </w:r>
    </w:p>
    <w:p w14:paraId="1D95CA3F" w14:textId="05EC564C" w:rsidR="006F2AB2" w:rsidRPr="00B351BA" w:rsidRDefault="006F2AB2" w:rsidP="006F2AB2">
      <w:pPr>
        <w:ind w:firstLine="567"/>
        <w:jc w:val="both"/>
        <w:rPr>
          <w:color w:val="000000" w:themeColor="text1"/>
          <w:sz w:val="22"/>
          <w:szCs w:val="22"/>
          <w:lang w:val="ru-RU" w:eastAsia="ro-MD"/>
        </w:rPr>
      </w:pPr>
      <w:r w:rsidRPr="00B351BA">
        <w:rPr>
          <w:color w:val="000000" w:themeColor="text1"/>
          <w:sz w:val="22"/>
          <w:szCs w:val="22"/>
          <w:lang w:val="ru-RU" w:eastAsia="ro-MD"/>
        </w:rPr>
        <w:t xml:space="preserve">k = </w:t>
      </w:r>
      <w:r w:rsidR="006A3637" w:rsidRPr="00B351BA">
        <w:rPr>
          <w:color w:val="000000" w:themeColor="text1"/>
          <w:sz w:val="22"/>
          <w:szCs w:val="22"/>
          <w:lang w:val="ru-RU" w:eastAsia="ro-MD"/>
        </w:rPr>
        <w:t>индекс, обозначающий все отдельные валюты, в которых номинированы ценные бумаги, товары или денежные позиции в рамках соглашения</w:t>
      </w:r>
      <w:r w:rsidRPr="00B351BA">
        <w:rPr>
          <w:color w:val="000000" w:themeColor="text1"/>
          <w:sz w:val="22"/>
          <w:szCs w:val="22"/>
          <w:lang w:val="ru-RU" w:eastAsia="ro-MD"/>
        </w:rPr>
        <w:t>;</w:t>
      </w:r>
    </w:p>
    <w:p w14:paraId="167C8AB6" w14:textId="4F7B33C0" w:rsidR="006F2AB2" w:rsidRPr="00B351BA" w:rsidRDefault="006F2AB2" w:rsidP="006F2AB2">
      <w:pPr>
        <w:ind w:firstLine="567"/>
        <w:jc w:val="both"/>
        <w:rPr>
          <w:color w:val="000000" w:themeColor="text1"/>
          <w:sz w:val="22"/>
          <w:szCs w:val="22"/>
          <w:lang w:val="ru-RU" w:eastAsia="ro-MD"/>
        </w:rPr>
      </w:pPr>
      <w:proofErr w:type="spellStart"/>
      <w:r w:rsidRPr="00B351BA">
        <w:rPr>
          <w:color w:val="000000" w:themeColor="text1"/>
          <w:sz w:val="22"/>
          <w:szCs w:val="22"/>
          <w:lang w:val="ru-RU" w:eastAsia="ro-MD"/>
        </w:rPr>
        <w:t>E</w:t>
      </w:r>
      <w:r w:rsidRPr="00B351BA">
        <w:rPr>
          <w:color w:val="000000" w:themeColor="text1"/>
          <w:sz w:val="22"/>
          <w:szCs w:val="22"/>
          <w:vertAlign w:val="subscript"/>
          <w:lang w:val="ru-RU" w:eastAsia="ro-MD"/>
        </w:rPr>
        <w:t>i</w:t>
      </w:r>
      <w:proofErr w:type="spellEnd"/>
      <w:r w:rsidRPr="00B351BA">
        <w:rPr>
          <w:color w:val="000000" w:themeColor="text1"/>
          <w:sz w:val="22"/>
          <w:szCs w:val="22"/>
          <w:lang w:val="ru-RU" w:eastAsia="ro-MD"/>
        </w:rPr>
        <w:t xml:space="preserve"> = </w:t>
      </w:r>
      <w:r w:rsidR="00B351BA" w:rsidRPr="00B351BA">
        <w:rPr>
          <w:color w:val="000000" w:themeColor="text1"/>
          <w:sz w:val="22"/>
          <w:szCs w:val="22"/>
          <w:lang w:val="ru-RU" w:eastAsia="ro-MD"/>
        </w:rPr>
        <w:t>стоимость подверженности по конкретной ценной бумаге, конкретному товару или конкретной денежной позиции, которая предоставлена в кредит, продана по сделке «</w:t>
      </w:r>
      <w:proofErr w:type="spellStart"/>
      <w:r w:rsidR="00B351BA" w:rsidRPr="00B351BA">
        <w:rPr>
          <w:color w:val="000000" w:themeColor="text1"/>
          <w:sz w:val="22"/>
          <w:szCs w:val="22"/>
          <w:lang w:val="ru-RU" w:eastAsia="ro-MD"/>
        </w:rPr>
        <w:t>репо</w:t>
      </w:r>
      <w:proofErr w:type="spellEnd"/>
      <w:r w:rsidR="00B351BA" w:rsidRPr="00B351BA">
        <w:rPr>
          <w:color w:val="000000" w:themeColor="text1"/>
          <w:sz w:val="22"/>
          <w:szCs w:val="22"/>
          <w:lang w:val="ru-RU" w:eastAsia="ro-MD"/>
        </w:rPr>
        <w:t xml:space="preserve">» или предоставлена контрагенту в рамках соглашения, сумма, которая применялась бы в отсутствие кредитной защиты в случае, если банки рассчитывают взвешенные по риску суммы подверженностей в соответствии с Регламентом № 111/2018 или нормативным актом Национального банка Молдовы об отношении </w:t>
      </w:r>
      <w:r w:rsidR="000728FD">
        <w:rPr>
          <w:color w:val="000000" w:themeColor="text1"/>
          <w:sz w:val="22"/>
          <w:szCs w:val="22"/>
          <w:lang w:val="ru-RU" w:eastAsia="ro-MD"/>
        </w:rPr>
        <w:t>к кредитному риску в соответствии с подходом</w:t>
      </w:r>
      <w:r w:rsidR="00B351BA" w:rsidRPr="00B351BA">
        <w:rPr>
          <w:color w:val="000000" w:themeColor="text1"/>
          <w:sz w:val="22"/>
          <w:szCs w:val="22"/>
          <w:lang w:val="ru-RU" w:eastAsia="ro-MD"/>
        </w:rPr>
        <w:t>, основанным на внутренних рейтинговых моделях, в зависимости от обстоятельств</w:t>
      </w:r>
      <w:r w:rsidRPr="00B351BA">
        <w:rPr>
          <w:color w:val="000000" w:themeColor="text1"/>
          <w:sz w:val="22"/>
          <w:szCs w:val="22"/>
          <w:lang w:val="ru-RU" w:eastAsia="ro-MD"/>
        </w:rPr>
        <w:t>;</w:t>
      </w:r>
    </w:p>
    <w:p w14:paraId="7923B28C" w14:textId="0514CDE4" w:rsidR="006F2AB2" w:rsidRPr="00D3028F" w:rsidRDefault="006F2AB2" w:rsidP="006F2AB2">
      <w:pPr>
        <w:ind w:firstLine="567"/>
        <w:jc w:val="both"/>
        <w:rPr>
          <w:color w:val="000000" w:themeColor="text1"/>
          <w:sz w:val="22"/>
          <w:szCs w:val="22"/>
          <w:lang w:val="ru-RU" w:eastAsia="ro-MD"/>
        </w:rPr>
      </w:pPr>
      <w:proofErr w:type="spellStart"/>
      <w:r w:rsidRPr="00D3028F">
        <w:rPr>
          <w:color w:val="000000" w:themeColor="text1"/>
          <w:sz w:val="22"/>
          <w:szCs w:val="22"/>
          <w:lang w:val="ru-RU" w:eastAsia="ro-MD"/>
        </w:rPr>
        <w:t>C</w:t>
      </w:r>
      <w:r w:rsidRPr="00D3028F">
        <w:rPr>
          <w:color w:val="000000" w:themeColor="text1"/>
          <w:sz w:val="22"/>
          <w:szCs w:val="22"/>
          <w:vertAlign w:val="subscript"/>
          <w:lang w:val="ru-RU" w:eastAsia="ro-MD"/>
        </w:rPr>
        <w:t>j</w:t>
      </w:r>
      <w:proofErr w:type="spellEnd"/>
      <w:r w:rsidRPr="00D3028F">
        <w:rPr>
          <w:color w:val="000000" w:themeColor="text1"/>
          <w:sz w:val="22"/>
          <w:szCs w:val="22"/>
          <w:vertAlign w:val="subscript"/>
          <w:lang w:val="ru-RU" w:eastAsia="ro-MD"/>
        </w:rPr>
        <w:t xml:space="preserve"> </w:t>
      </w:r>
      <w:r w:rsidRPr="00D3028F">
        <w:rPr>
          <w:color w:val="000000" w:themeColor="text1"/>
          <w:sz w:val="22"/>
          <w:szCs w:val="22"/>
          <w:lang w:val="ru-RU" w:eastAsia="ro-MD"/>
        </w:rPr>
        <w:t xml:space="preserve">= </w:t>
      </w:r>
      <w:r w:rsidR="00EA735E" w:rsidRPr="00D3028F">
        <w:rPr>
          <w:color w:val="000000" w:themeColor="text1"/>
          <w:sz w:val="22"/>
          <w:szCs w:val="22"/>
          <w:lang w:val="ru-RU" w:eastAsia="ro-MD"/>
        </w:rPr>
        <w:t>стоимость определенной ценной бумаги, определенного товара или определенной позиции в денежных средствах j, которая взята в кредит, приобретена по договору обратного выкупа или удерживается банком в рамках соглашения</w:t>
      </w:r>
      <w:r w:rsidRPr="00D3028F">
        <w:rPr>
          <w:color w:val="000000" w:themeColor="text1"/>
          <w:sz w:val="22"/>
          <w:szCs w:val="22"/>
          <w:lang w:val="ru-RU" w:eastAsia="ro-MD"/>
        </w:rPr>
        <w:t>;</w:t>
      </w:r>
    </w:p>
    <w:p w14:paraId="6985AF2D" w14:textId="743FA877" w:rsidR="006F2AB2" w:rsidRPr="00D3028F" w:rsidRDefault="006F2AB2" w:rsidP="006F2AB2">
      <w:pPr>
        <w:ind w:firstLine="567"/>
        <w:jc w:val="both"/>
        <w:rPr>
          <w:color w:val="000000" w:themeColor="text1"/>
          <w:sz w:val="22"/>
          <w:szCs w:val="22"/>
          <w:lang w:val="ru-RU" w:eastAsia="ro-MD"/>
        </w:rPr>
      </w:pPr>
      <w:proofErr w:type="spellStart"/>
      <w:r w:rsidRPr="00D3028F">
        <w:rPr>
          <w:color w:val="000000" w:themeColor="text1"/>
          <w:sz w:val="22"/>
          <w:szCs w:val="22"/>
          <w:lang w:val="ru-RU" w:eastAsia="ro-MD"/>
        </w:rPr>
        <w:t>E</w:t>
      </w:r>
      <w:r w:rsidRPr="00D3028F">
        <w:rPr>
          <w:color w:val="000000" w:themeColor="text1"/>
          <w:sz w:val="22"/>
          <w:szCs w:val="22"/>
          <w:vertAlign w:val="subscript"/>
          <w:lang w:val="ru-RU" w:eastAsia="ro-MD"/>
        </w:rPr>
        <w:t>k</w:t>
      </w:r>
      <w:r w:rsidRPr="00D3028F">
        <w:rPr>
          <w:color w:val="000000" w:themeColor="text1"/>
          <w:sz w:val="22"/>
          <w:szCs w:val="22"/>
          <w:vertAlign w:val="superscript"/>
          <w:lang w:val="ru-RU" w:eastAsia="ro-MD"/>
        </w:rPr>
        <w:t>fx</w:t>
      </w:r>
      <w:proofErr w:type="spellEnd"/>
      <w:r w:rsidRPr="00D3028F">
        <w:rPr>
          <w:color w:val="000000" w:themeColor="text1"/>
          <w:sz w:val="22"/>
          <w:szCs w:val="22"/>
          <w:lang w:val="ru-RU" w:eastAsia="ro-MD"/>
        </w:rPr>
        <w:t xml:space="preserve"> = </w:t>
      </w:r>
      <w:r w:rsidR="00EA735E" w:rsidRPr="00D3028F">
        <w:rPr>
          <w:color w:val="000000" w:themeColor="text1"/>
          <w:sz w:val="22"/>
          <w:szCs w:val="22"/>
          <w:lang w:val="ru-RU" w:eastAsia="ro-MD"/>
        </w:rPr>
        <w:t>чистая позиция (положительная или отрицательная) по данной валюте k, отличной от валюты расчета по соглашению, рассчитанная в соответствии с подпунктом 2) пункта 69</w:t>
      </w:r>
      <w:r w:rsidRPr="00D3028F">
        <w:rPr>
          <w:color w:val="000000" w:themeColor="text1"/>
          <w:sz w:val="22"/>
          <w:szCs w:val="22"/>
          <w:lang w:val="ru-RU" w:eastAsia="ro-MD"/>
        </w:rPr>
        <w:t>;</w:t>
      </w:r>
    </w:p>
    <w:p w14:paraId="489E372D" w14:textId="0C1D721F" w:rsidR="006F2AB2" w:rsidRPr="00D3028F" w:rsidRDefault="006F2AB2" w:rsidP="006F2AB2">
      <w:pPr>
        <w:ind w:firstLine="567"/>
        <w:jc w:val="both"/>
        <w:rPr>
          <w:color w:val="000000" w:themeColor="text1"/>
          <w:sz w:val="22"/>
          <w:szCs w:val="22"/>
          <w:lang w:val="ru-RU" w:eastAsia="ro-MD"/>
        </w:rPr>
      </w:pPr>
      <w:proofErr w:type="spellStart"/>
      <w:r w:rsidRPr="00D3028F">
        <w:rPr>
          <w:color w:val="000000" w:themeColor="text1"/>
          <w:sz w:val="22"/>
          <w:szCs w:val="22"/>
          <w:lang w:val="ru-RU" w:eastAsia="ro-MD"/>
        </w:rPr>
        <w:t>H</w:t>
      </w:r>
      <w:r w:rsidRPr="00D3028F">
        <w:rPr>
          <w:color w:val="000000" w:themeColor="text1"/>
          <w:sz w:val="22"/>
          <w:szCs w:val="22"/>
          <w:vertAlign w:val="subscript"/>
          <w:lang w:val="ru-RU" w:eastAsia="ro-MD"/>
        </w:rPr>
        <w:t>j</w:t>
      </w:r>
      <w:r w:rsidRPr="00D3028F">
        <w:rPr>
          <w:color w:val="000000" w:themeColor="text1"/>
          <w:sz w:val="22"/>
          <w:szCs w:val="22"/>
          <w:vertAlign w:val="superscript"/>
          <w:lang w:val="ru-RU" w:eastAsia="ro-MD"/>
        </w:rPr>
        <w:t>sec</w:t>
      </w:r>
      <w:proofErr w:type="spellEnd"/>
      <w:r w:rsidRPr="00D3028F">
        <w:rPr>
          <w:color w:val="000000" w:themeColor="text1"/>
          <w:sz w:val="22"/>
          <w:szCs w:val="22"/>
          <w:lang w:val="ru-RU" w:eastAsia="ro-MD"/>
        </w:rPr>
        <w:t xml:space="preserve"> = </w:t>
      </w:r>
      <w:r w:rsidR="002C6CC7" w:rsidRPr="00D3028F">
        <w:rPr>
          <w:color w:val="000000" w:themeColor="text1"/>
          <w:sz w:val="22"/>
          <w:szCs w:val="22"/>
          <w:lang w:val="ru-RU" w:eastAsia="ro-MD"/>
        </w:rPr>
        <w:t xml:space="preserve">корректировка волатильности, соответствующая определенной группе ценных бумаг </w:t>
      </w:r>
      <w:r w:rsidRPr="00D3028F">
        <w:rPr>
          <w:i/>
          <w:iCs/>
          <w:color w:val="000000" w:themeColor="text1"/>
          <w:sz w:val="22"/>
          <w:szCs w:val="22"/>
          <w:lang w:val="ru-RU" w:eastAsia="ro-MD"/>
        </w:rPr>
        <w:t>j</w:t>
      </w:r>
      <w:r w:rsidRPr="00D3028F">
        <w:rPr>
          <w:color w:val="000000" w:themeColor="text1"/>
          <w:sz w:val="22"/>
          <w:szCs w:val="22"/>
          <w:lang w:val="ru-RU" w:eastAsia="ro-MD"/>
        </w:rPr>
        <w:t>;</w:t>
      </w:r>
    </w:p>
    <w:p w14:paraId="78B78D6A" w14:textId="48401ED9" w:rsidR="006F2AB2" w:rsidRPr="00D3028F" w:rsidRDefault="006F2AB2" w:rsidP="006F2AB2">
      <w:pPr>
        <w:ind w:firstLine="567"/>
        <w:jc w:val="both"/>
        <w:rPr>
          <w:color w:val="000000" w:themeColor="text1"/>
          <w:sz w:val="22"/>
          <w:szCs w:val="22"/>
          <w:lang w:val="ru-RU" w:eastAsia="ro-MD"/>
        </w:rPr>
      </w:pPr>
      <w:proofErr w:type="spellStart"/>
      <w:r w:rsidRPr="00D3028F">
        <w:rPr>
          <w:color w:val="000000" w:themeColor="text1"/>
          <w:sz w:val="22"/>
          <w:szCs w:val="22"/>
          <w:lang w:val="ru-RU" w:eastAsia="ro-MD"/>
        </w:rPr>
        <w:t>H</w:t>
      </w:r>
      <w:r w:rsidRPr="00D3028F">
        <w:rPr>
          <w:color w:val="000000" w:themeColor="text1"/>
          <w:sz w:val="22"/>
          <w:szCs w:val="22"/>
          <w:vertAlign w:val="subscript"/>
          <w:lang w:val="ru-RU" w:eastAsia="ro-MD"/>
        </w:rPr>
        <w:t>k</w:t>
      </w:r>
      <w:r w:rsidRPr="00D3028F">
        <w:rPr>
          <w:color w:val="000000" w:themeColor="text1"/>
          <w:sz w:val="22"/>
          <w:szCs w:val="22"/>
          <w:vertAlign w:val="superscript"/>
          <w:lang w:val="ru-RU" w:eastAsia="ro-MD"/>
        </w:rPr>
        <w:t>fx</w:t>
      </w:r>
      <w:proofErr w:type="spellEnd"/>
      <w:r w:rsidRPr="00D3028F">
        <w:rPr>
          <w:color w:val="000000" w:themeColor="text1"/>
          <w:sz w:val="22"/>
          <w:szCs w:val="22"/>
          <w:lang w:val="ru-RU" w:eastAsia="ro-MD"/>
        </w:rPr>
        <w:t xml:space="preserve"> = </w:t>
      </w:r>
      <w:r w:rsidR="002C6CC7" w:rsidRPr="00D3028F">
        <w:rPr>
          <w:color w:val="000000" w:themeColor="text1"/>
          <w:sz w:val="22"/>
          <w:szCs w:val="22"/>
          <w:lang w:val="ru-RU" w:eastAsia="ro-MD"/>
        </w:rPr>
        <w:t>поправка на волатильность, связанную с валютным риском для валюты k, рассчитанная в соответствии с частью 6 настоящей главы</w:t>
      </w:r>
      <w:r w:rsidRPr="00D3028F">
        <w:rPr>
          <w:color w:val="000000" w:themeColor="text1"/>
          <w:sz w:val="22"/>
          <w:szCs w:val="22"/>
          <w:lang w:val="ru-RU" w:eastAsia="ro-MD"/>
        </w:rPr>
        <w:t>.</w:t>
      </w:r>
    </w:p>
    <w:p w14:paraId="34B91412" w14:textId="2C439AB6" w:rsidR="006F2AB2" w:rsidRPr="00D3028F" w:rsidRDefault="006F2AB2" w:rsidP="006F2AB2">
      <w:pPr>
        <w:ind w:firstLine="567"/>
        <w:jc w:val="both"/>
        <w:rPr>
          <w:color w:val="000000" w:themeColor="text1"/>
          <w:sz w:val="22"/>
          <w:szCs w:val="22"/>
          <w:lang w:val="ru-RU" w:eastAsia="ro-MD"/>
        </w:rPr>
      </w:pPr>
      <w:r w:rsidRPr="00D3028F">
        <w:rPr>
          <w:noProof/>
          <w:color w:val="000000" w:themeColor="text1"/>
          <w:sz w:val="22"/>
          <w:szCs w:val="22"/>
          <w:lang w:val="ru-RU"/>
        </w:rPr>
        <w:drawing>
          <wp:inline distT="0" distB="0" distL="0" distR="0" wp14:anchorId="6F9C29E4" wp14:editId="1BDC0625">
            <wp:extent cx="323850" cy="276225"/>
            <wp:effectExtent l="0" t="0" r="0" b="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sidRPr="00D3028F">
        <w:rPr>
          <w:color w:val="000000" w:themeColor="text1"/>
          <w:sz w:val="22"/>
          <w:szCs w:val="22"/>
          <w:lang w:val="ru-RU" w:eastAsia="ro-MD"/>
        </w:rPr>
        <w:t xml:space="preserve">= </w:t>
      </w:r>
      <w:r w:rsidR="00D3028F" w:rsidRPr="00D3028F">
        <w:rPr>
          <w:color w:val="000000" w:themeColor="text1"/>
          <w:sz w:val="22"/>
          <w:szCs w:val="22"/>
          <w:lang w:val="ru-RU" w:eastAsia="ro-MD"/>
        </w:rPr>
        <w:t xml:space="preserve">поправка на волатильность, соответствующая курсу данной валюты </w:t>
      </w:r>
      <w:r w:rsidRPr="00D3028F">
        <w:rPr>
          <w:color w:val="000000" w:themeColor="text1"/>
          <w:sz w:val="22"/>
          <w:szCs w:val="22"/>
          <w:lang w:val="ru-RU" w:eastAsia="ro-MD"/>
        </w:rPr>
        <w:t>k;</w:t>
      </w:r>
    </w:p>
    <w:p w14:paraId="3B43B40E" w14:textId="33453634" w:rsidR="006F2AB2" w:rsidRPr="00D3028F" w:rsidRDefault="006F2AB2" w:rsidP="006F2AB2">
      <w:pPr>
        <w:spacing w:before="195" w:line="312" w:lineRule="atLeast"/>
        <w:ind w:firstLine="567"/>
        <w:jc w:val="both"/>
        <w:rPr>
          <w:color w:val="000000" w:themeColor="text1"/>
          <w:sz w:val="22"/>
          <w:szCs w:val="22"/>
          <w:lang w:val="ru-RU" w:eastAsia="ro-MD"/>
        </w:rPr>
      </w:pPr>
      <w:proofErr w:type="spellStart"/>
      <w:r w:rsidRPr="00D3028F">
        <w:rPr>
          <w:i/>
          <w:iCs/>
          <w:color w:val="000000" w:themeColor="text1"/>
          <w:sz w:val="22"/>
          <w:szCs w:val="22"/>
          <w:lang w:val="ru-RU" w:eastAsia="ro-MD"/>
        </w:rPr>
        <w:t>E</w:t>
      </w:r>
      <w:r w:rsidRPr="00D3028F">
        <w:rPr>
          <w:i/>
          <w:iCs/>
          <w:color w:val="000000" w:themeColor="text1"/>
          <w:sz w:val="22"/>
          <w:szCs w:val="22"/>
          <w:vertAlign w:val="subscript"/>
          <w:lang w:val="ru-RU" w:eastAsia="ro-MD"/>
        </w:rPr>
        <w:t>net</w:t>
      </w:r>
      <w:proofErr w:type="spellEnd"/>
      <w:r w:rsidRPr="00D3028F">
        <w:rPr>
          <w:i/>
          <w:iCs/>
          <w:color w:val="000000" w:themeColor="text1"/>
          <w:sz w:val="22"/>
          <w:szCs w:val="22"/>
          <w:vertAlign w:val="subscript"/>
          <w:lang w:val="ru-RU" w:eastAsia="ro-MD"/>
        </w:rPr>
        <w:t xml:space="preserve"> = </w:t>
      </w:r>
      <w:r w:rsidR="00D3028F" w:rsidRPr="00D3028F">
        <w:rPr>
          <w:color w:val="000000" w:themeColor="text1"/>
          <w:sz w:val="22"/>
          <w:szCs w:val="22"/>
          <w:lang w:val="ru-RU" w:eastAsia="ro-MD"/>
        </w:rPr>
        <w:t>чистая сумма подверженности по соглашению, рассчитанная следующим образом</w:t>
      </w:r>
      <w:r w:rsidRPr="00D3028F">
        <w:rPr>
          <w:color w:val="000000" w:themeColor="text1"/>
          <w:sz w:val="22"/>
          <w:szCs w:val="22"/>
          <w:lang w:val="ru-RU" w:eastAsia="ro-MD"/>
        </w:rPr>
        <w:t>:</w:t>
      </w:r>
    </w:p>
    <w:p w14:paraId="2F5F5BCC" w14:textId="77777777" w:rsidR="006F2AB2" w:rsidRPr="00884D1F" w:rsidRDefault="006F2AB2" w:rsidP="006F2AB2">
      <w:pPr>
        <w:shd w:val="clear" w:color="auto" w:fill="FFFFFF"/>
        <w:spacing w:before="120" w:line="312" w:lineRule="atLeast"/>
        <w:jc w:val="both"/>
        <w:rPr>
          <w:color w:val="000000" w:themeColor="text1"/>
          <w:sz w:val="22"/>
          <w:szCs w:val="22"/>
          <w:lang w:eastAsia="ro-MD"/>
        </w:rPr>
      </w:pPr>
      <w:r w:rsidRPr="00884D1F">
        <w:rPr>
          <w:noProof/>
          <w:color w:val="000000" w:themeColor="text1"/>
          <w:sz w:val="22"/>
          <w:szCs w:val="22"/>
        </w:rPr>
        <w:drawing>
          <wp:inline distT="0" distB="0" distL="0" distR="0" wp14:anchorId="7DAD7DA6" wp14:editId="03BA4072">
            <wp:extent cx="1847850" cy="685800"/>
            <wp:effectExtent l="0" t="0" r="0" b="0"/>
            <wp:docPr id="19"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p>
    <w:p w14:paraId="78516B5C" w14:textId="17D78EB1" w:rsidR="006F2AB2" w:rsidRPr="00884D1F" w:rsidRDefault="00D3028F" w:rsidP="006F2AB2">
      <w:pPr>
        <w:shd w:val="clear" w:color="auto" w:fill="FFFFFF"/>
        <w:spacing w:before="120" w:line="312" w:lineRule="atLeast"/>
        <w:jc w:val="both"/>
        <w:rPr>
          <w:color w:val="000000" w:themeColor="text1"/>
          <w:sz w:val="22"/>
          <w:szCs w:val="22"/>
          <w:lang w:val="ro-RO" w:eastAsia="ro-MD"/>
        </w:rPr>
      </w:pPr>
      <w:r>
        <w:rPr>
          <w:color w:val="000000" w:themeColor="text1"/>
          <w:sz w:val="22"/>
          <w:szCs w:val="22"/>
          <w:lang w:val="ru-RU" w:eastAsia="ro-MD"/>
        </w:rPr>
        <w:t>где</w:t>
      </w:r>
      <w:r w:rsidR="006F2AB2" w:rsidRPr="00884D1F">
        <w:rPr>
          <w:color w:val="000000" w:themeColor="text1"/>
          <w:sz w:val="22"/>
          <w:szCs w:val="22"/>
          <w:lang w:val="ro-RO" w:eastAsia="ro-MD"/>
        </w:rPr>
        <w:t>:</w:t>
      </w:r>
    </w:p>
    <w:tbl>
      <w:tblPr>
        <w:tblW w:w="5000" w:type="pct"/>
        <w:tblCellMar>
          <w:left w:w="0" w:type="dxa"/>
          <w:right w:w="0" w:type="dxa"/>
        </w:tblCellMar>
        <w:tblLook w:val="04A0" w:firstRow="1" w:lastRow="0" w:firstColumn="1" w:lastColumn="0" w:noHBand="0" w:noVBand="1"/>
      </w:tblPr>
      <w:tblGrid>
        <w:gridCol w:w="62"/>
        <w:gridCol w:w="9627"/>
      </w:tblGrid>
      <w:tr w:rsidR="006F2AB2" w:rsidRPr="007544BA" w14:paraId="64200FE9" w14:textId="77777777" w:rsidTr="003425C4">
        <w:tc>
          <w:tcPr>
            <w:tcW w:w="11" w:type="pct"/>
            <w:hideMark/>
          </w:tcPr>
          <w:p w14:paraId="6690A8D9" w14:textId="77777777" w:rsidR="006F2AB2" w:rsidRPr="006177FD" w:rsidRDefault="006F2AB2" w:rsidP="003425C4">
            <w:pPr>
              <w:spacing w:before="195" w:line="312" w:lineRule="atLeast"/>
              <w:rPr>
                <w:i/>
                <w:iCs/>
                <w:color w:val="000000" w:themeColor="text1"/>
                <w:sz w:val="22"/>
                <w:szCs w:val="22"/>
                <w:lang w:val="ru-RU" w:eastAsia="ro-MD"/>
              </w:rPr>
            </w:pPr>
            <w:r w:rsidRPr="006177FD">
              <w:rPr>
                <w:i/>
                <w:iCs/>
                <w:color w:val="000000" w:themeColor="text1"/>
                <w:sz w:val="22"/>
                <w:szCs w:val="22"/>
                <w:lang w:val="ru-RU" w:eastAsia="ro-MD"/>
              </w:rPr>
              <w:t>l</w:t>
            </w:r>
          </w:p>
        </w:tc>
        <w:tc>
          <w:tcPr>
            <w:tcW w:w="4989" w:type="pct"/>
            <w:hideMark/>
          </w:tcPr>
          <w:p w14:paraId="56AA738F" w14:textId="0C7AA2B8" w:rsidR="006F2AB2" w:rsidRPr="006177FD" w:rsidRDefault="006F2AB2" w:rsidP="003425C4">
            <w:pPr>
              <w:spacing w:before="120" w:line="312" w:lineRule="atLeast"/>
              <w:jc w:val="both"/>
              <w:rPr>
                <w:color w:val="000000" w:themeColor="text1"/>
                <w:sz w:val="22"/>
                <w:szCs w:val="22"/>
                <w:lang w:val="ru-RU" w:eastAsia="ro-MD"/>
              </w:rPr>
            </w:pPr>
            <w:r w:rsidRPr="006177FD">
              <w:rPr>
                <w:color w:val="000000" w:themeColor="text1"/>
                <w:sz w:val="22"/>
                <w:szCs w:val="22"/>
                <w:lang w:val="ru-RU" w:eastAsia="ro-MD"/>
              </w:rPr>
              <w:t xml:space="preserve"> = </w:t>
            </w:r>
            <w:r w:rsidR="00435075" w:rsidRPr="006177FD">
              <w:rPr>
                <w:color w:val="000000" w:themeColor="text1"/>
                <w:sz w:val="22"/>
                <w:szCs w:val="22"/>
                <w:lang w:val="ru-RU" w:eastAsia="ro-MD"/>
              </w:rPr>
              <w:t>индекс, обозначающий все отдельные группы одних и тех же ценных бумаг и все отдельные виды одних и тех же товаров в рамках соглашения</w:t>
            </w:r>
            <w:r w:rsidRPr="006177FD">
              <w:rPr>
                <w:color w:val="000000" w:themeColor="text1"/>
                <w:sz w:val="22"/>
                <w:szCs w:val="22"/>
                <w:lang w:val="ru-RU" w:eastAsia="ro-MD"/>
              </w:rPr>
              <w:t>;</w:t>
            </w:r>
          </w:p>
        </w:tc>
      </w:tr>
    </w:tbl>
    <w:p w14:paraId="3D0F4B1E" w14:textId="77777777" w:rsidR="006F2AB2" w:rsidRPr="006177FD" w:rsidRDefault="006F2AB2" w:rsidP="006F2AB2">
      <w:pPr>
        <w:shd w:val="clear" w:color="auto" w:fill="FFFFFF"/>
        <w:rPr>
          <w:vanish/>
          <w:color w:val="000000" w:themeColor="text1"/>
          <w:sz w:val="22"/>
          <w:szCs w:val="22"/>
          <w:lang w:val="ru-RU" w:eastAsia="ro-MD"/>
        </w:rPr>
      </w:pPr>
    </w:p>
    <w:tbl>
      <w:tblPr>
        <w:tblW w:w="5000" w:type="pct"/>
        <w:tblCellMar>
          <w:left w:w="0" w:type="dxa"/>
          <w:right w:w="0" w:type="dxa"/>
        </w:tblCellMar>
        <w:tblLook w:val="04A0" w:firstRow="1" w:lastRow="0" w:firstColumn="1" w:lastColumn="0" w:noHBand="0" w:noVBand="1"/>
      </w:tblPr>
      <w:tblGrid>
        <w:gridCol w:w="570"/>
        <w:gridCol w:w="9119"/>
      </w:tblGrid>
      <w:tr w:rsidR="006F2AB2" w:rsidRPr="007544BA" w14:paraId="56204625" w14:textId="77777777" w:rsidTr="003425C4">
        <w:tc>
          <w:tcPr>
            <w:tcW w:w="0" w:type="auto"/>
            <w:hideMark/>
          </w:tcPr>
          <w:p w14:paraId="0EC17FD7" w14:textId="77777777" w:rsidR="006F2AB2" w:rsidRPr="006177FD" w:rsidRDefault="006F2AB2" w:rsidP="003425C4">
            <w:pPr>
              <w:spacing w:before="195" w:line="312" w:lineRule="atLeast"/>
              <w:rPr>
                <w:color w:val="000000" w:themeColor="text1"/>
                <w:sz w:val="22"/>
                <w:szCs w:val="22"/>
                <w:lang w:val="ru-RU" w:eastAsia="ro-MD"/>
              </w:rPr>
            </w:pPr>
            <w:r w:rsidRPr="006177FD">
              <w:rPr>
                <w:noProof/>
                <w:color w:val="000000" w:themeColor="text1"/>
                <w:sz w:val="22"/>
                <w:szCs w:val="22"/>
                <w:lang w:val="ru-RU"/>
              </w:rPr>
              <w:drawing>
                <wp:inline distT="0" distB="0" distL="0" distR="0" wp14:anchorId="1B4701B3" wp14:editId="02D76220">
                  <wp:extent cx="361950" cy="276225"/>
                  <wp:effectExtent l="0" t="0" r="0" b="0"/>
                  <wp:docPr id="23"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0" w:type="auto"/>
            <w:hideMark/>
          </w:tcPr>
          <w:p w14:paraId="30520897" w14:textId="0F49728E" w:rsidR="006F2AB2" w:rsidRPr="006177FD" w:rsidRDefault="006F2AB2" w:rsidP="003425C4">
            <w:pPr>
              <w:spacing w:before="120" w:line="312" w:lineRule="atLeast"/>
              <w:jc w:val="both"/>
              <w:rPr>
                <w:color w:val="000000" w:themeColor="text1"/>
                <w:sz w:val="22"/>
                <w:szCs w:val="22"/>
                <w:lang w:val="ru-RU" w:eastAsia="ro-MD"/>
              </w:rPr>
            </w:pPr>
            <w:r w:rsidRPr="006177FD">
              <w:rPr>
                <w:color w:val="000000" w:themeColor="text1"/>
                <w:sz w:val="22"/>
                <w:szCs w:val="22"/>
                <w:lang w:val="ru-RU" w:eastAsia="ro-MD"/>
              </w:rPr>
              <w:t xml:space="preserve">= </w:t>
            </w:r>
            <w:r w:rsidR="009723B7" w:rsidRPr="006177FD">
              <w:rPr>
                <w:color w:val="000000" w:themeColor="text1"/>
                <w:sz w:val="22"/>
                <w:szCs w:val="22"/>
                <w:lang w:val="ru-RU" w:eastAsia="ro-MD"/>
              </w:rPr>
              <w:t xml:space="preserve">чистая позиция (положительная или отрицательная) по определенной группе ценных бумаг </w:t>
            </w:r>
            <w:r w:rsidRPr="006177FD">
              <w:rPr>
                <w:i/>
                <w:iCs/>
                <w:color w:val="000000" w:themeColor="text1"/>
                <w:sz w:val="22"/>
                <w:szCs w:val="22"/>
                <w:lang w:val="ru-RU" w:eastAsia="ro-MD"/>
              </w:rPr>
              <w:t>l</w:t>
            </w:r>
            <w:r w:rsidRPr="006177FD">
              <w:rPr>
                <w:color w:val="000000" w:themeColor="text1"/>
                <w:sz w:val="22"/>
                <w:szCs w:val="22"/>
                <w:lang w:val="ru-RU" w:eastAsia="ro-MD"/>
              </w:rPr>
              <w:t xml:space="preserve"> </w:t>
            </w:r>
            <w:r w:rsidR="006177FD" w:rsidRPr="006177FD">
              <w:rPr>
                <w:color w:val="000000" w:themeColor="text1"/>
                <w:sz w:val="22"/>
                <w:szCs w:val="22"/>
                <w:lang w:val="ru-RU" w:eastAsia="ro-MD"/>
              </w:rPr>
              <w:t xml:space="preserve">или по определенному виду товаров </w:t>
            </w:r>
            <w:r w:rsidRPr="006177FD">
              <w:rPr>
                <w:i/>
                <w:iCs/>
                <w:color w:val="000000" w:themeColor="text1"/>
                <w:sz w:val="22"/>
                <w:szCs w:val="22"/>
                <w:lang w:val="ru-RU" w:eastAsia="ro-MD"/>
              </w:rPr>
              <w:t>l</w:t>
            </w:r>
            <w:r w:rsidR="006177FD" w:rsidRPr="006177FD">
              <w:rPr>
                <w:i/>
                <w:iCs/>
                <w:color w:val="000000" w:themeColor="text1"/>
                <w:sz w:val="22"/>
                <w:szCs w:val="22"/>
                <w:lang w:val="ru-RU" w:eastAsia="ro-MD"/>
              </w:rPr>
              <w:t xml:space="preserve"> </w:t>
            </w:r>
            <w:r w:rsidR="006177FD" w:rsidRPr="006177FD">
              <w:rPr>
                <w:color w:val="000000" w:themeColor="text1"/>
                <w:sz w:val="22"/>
                <w:szCs w:val="22"/>
                <w:lang w:val="ru-RU" w:eastAsia="ro-MD"/>
              </w:rPr>
              <w:t>в рамках соглашения, рассчитанная в соответствии с подпунктом</w:t>
            </w:r>
            <w:r w:rsidR="00223D61">
              <w:rPr>
                <w:color w:val="000000" w:themeColor="text1"/>
                <w:sz w:val="22"/>
                <w:szCs w:val="22"/>
                <w:lang w:val="ru-RU" w:eastAsia="ro-MD"/>
              </w:rPr>
              <w:t xml:space="preserve"> </w:t>
            </w:r>
            <w:r w:rsidR="006177FD" w:rsidRPr="006177FD">
              <w:rPr>
                <w:color w:val="000000" w:themeColor="text1"/>
                <w:sz w:val="22"/>
                <w:szCs w:val="22"/>
                <w:lang w:val="ru-RU" w:eastAsia="ro-MD"/>
              </w:rPr>
              <w:t>1) пункта 69</w:t>
            </w:r>
            <w:r w:rsidRPr="006177FD">
              <w:rPr>
                <w:color w:val="000000" w:themeColor="text1"/>
                <w:sz w:val="22"/>
                <w:szCs w:val="22"/>
                <w:lang w:val="ru-RU" w:eastAsia="ro-MD"/>
              </w:rPr>
              <w:t>;</w:t>
            </w:r>
          </w:p>
        </w:tc>
      </w:tr>
    </w:tbl>
    <w:p w14:paraId="2F2FE99C" w14:textId="77777777" w:rsidR="006F2AB2" w:rsidRPr="006177FD" w:rsidRDefault="006F2AB2" w:rsidP="006F2AB2">
      <w:pPr>
        <w:shd w:val="clear" w:color="auto" w:fill="FFFFFF"/>
        <w:rPr>
          <w:vanish/>
          <w:color w:val="000000" w:themeColor="text1"/>
          <w:sz w:val="22"/>
          <w:szCs w:val="22"/>
          <w:lang w:val="ru-RU" w:eastAsia="ro-MD"/>
        </w:rPr>
      </w:pPr>
    </w:p>
    <w:tbl>
      <w:tblPr>
        <w:tblW w:w="5000" w:type="pct"/>
        <w:tblLayout w:type="fixed"/>
        <w:tblCellMar>
          <w:left w:w="0" w:type="dxa"/>
          <w:right w:w="0" w:type="dxa"/>
        </w:tblCellMar>
        <w:tblLook w:val="04A0" w:firstRow="1" w:lastRow="0" w:firstColumn="1" w:lastColumn="0" w:noHBand="0" w:noVBand="1"/>
      </w:tblPr>
      <w:tblGrid>
        <w:gridCol w:w="569"/>
        <w:gridCol w:w="20"/>
        <w:gridCol w:w="9100"/>
      </w:tblGrid>
      <w:tr w:rsidR="00B0458A" w:rsidRPr="007544BA" w14:paraId="55C550DB" w14:textId="77777777" w:rsidTr="00B0458A">
        <w:tc>
          <w:tcPr>
            <w:tcW w:w="570" w:type="dxa"/>
            <w:hideMark/>
          </w:tcPr>
          <w:p w14:paraId="5C21DC4A" w14:textId="77777777" w:rsidR="00B0458A" w:rsidRPr="005E5373" w:rsidRDefault="00B0458A" w:rsidP="003425C4">
            <w:pPr>
              <w:spacing w:before="195" w:line="312" w:lineRule="atLeast"/>
              <w:rPr>
                <w:color w:val="000000" w:themeColor="text1"/>
                <w:sz w:val="22"/>
                <w:szCs w:val="22"/>
                <w:lang w:val="ru-RU" w:eastAsia="ro-MD"/>
              </w:rPr>
            </w:pPr>
            <w:r w:rsidRPr="005E5373">
              <w:rPr>
                <w:noProof/>
                <w:color w:val="000000" w:themeColor="text1"/>
                <w:sz w:val="22"/>
                <w:szCs w:val="22"/>
                <w:lang w:val="ru-RU"/>
              </w:rPr>
              <w:drawing>
                <wp:inline distT="0" distB="0" distL="0" distR="0" wp14:anchorId="6DDF2662" wp14:editId="042B0E7C">
                  <wp:extent cx="361950" cy="27622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c>
          <w:tcPr>
            <w:tcW w:w="10" w:type="pct"/>
          </w:tcPr>
          <w:p w14:paraId="7C5D4435" w14:textId="77777777" w:rsidR="00B0458A" w:rsidRPr="005E5373" w:rsidRDefault="00B0458A" w:rsidP="003425C4">
            <w:pPr>
              <w:spacing w:before="120" w:line="312" w:lineRule="atLeast"/>
              <w:jc w:val="both"/>
              <w:rPr>
                <w:color w:val="000000" w:themeColor="text1"/>
                <w:sz w:val="22"/>
                <w:szCs w:val="22"/>
                <w:lang w:val="ru-RU" w:eastAsia="ro-MD"/>
              </w:rPr>
            </w:pPr>
          </w:p>
        </w:tc>
        <w:tc>
          <w:tcPr>
            <w:tcW w:w="4696" w:type="pct"/>
            <w:hideMark/>
          </w:tcPr>
          <w:p w14:paraId="1A0CDBD3" w14:textId="3AE73892" w:rsidR="00B0458A" w:rsidRPr="005E5373" w:rsidRDefault="00B0458A" w:rsidP="003425C4">
            <w:pPr>
              <w:spacing w:before="120" w:line="312" w:lineRule="atLeast"/>
              <w:jc w:val="both"/>
              <w:rPr>
                <w:color w:val="000000" w:themeColor="text1"/>
                <w:sz w:val="22"/>
                <w:szCs w:val="22"/>
                <w:lang w:val="ru-RU" w:eastAsia="ro-MD"/>
              </w:rPr>
            </w:pPr>
            <w:r w:rsidRPr="005E5373">
              <w:rPr>
                <w:color w:val="000000" w:themeColor="text1"/>
                <w:sz w:val="22"/>
                <w:szCs w:val="22"/>
                <w:lang w:val="ru-RU" w:eastAsia="ro-MD"/>
              </w:rPr>
              <w:t xml:space="preserve">= поправка на волатильность, соответствующая определенной группе ценных бумаг l или определенному виду товаров </w:t>
            </w:r>
            <w:r w:rsidRPr="005E5373">
              <w:rPr>
                <w:i/>
                <w:iCs/>
                <w:color w:val="000000" w:themeColor="text1"/>
                <w:sz w:val="22"/>
                <w:szCs w:val="22"/>
                <w:lang w:val="ru-RU" w:eastAsia="ro-MD"/>
              </w:rPr>
              <w:t>l</w:t>
            </w:r>
            <w:r w:rsidRPr="005E5373">
              <w:rPr>
                <w:color w:val="000000" w:themeColor="text1"/>
                <w:sz w:val="22"/>
                <w:szCs w:val="22"/>
                <w:lang w:val="ru-RU" w:eastAsia="ro-MD"/>
              </w:rPr>
              <w:t>, установленная в соответствии с подпунктом 1) пункта 69; знак </w:t>
            </w:r>
            <w:r w:rsidRPr="005E5373">
              <w:rPr>
                <w:noProof/>
                <w:color w:val="000000" w:themeColor="text1"/>
                <w:sz w:val="22"/>
                <w:szCs w:val="22"/>
                <w:lang w:val="ru-RU"/>
              </w:rPr>
              <w:drawing>
                <wp:inline distT="0" distB="0" distL="0" distR="0" wp14:anchorId="6C15896A" wp14:editId="2E36B784">
                  <wp:extent cx="361950" cy="276225"/>
                  <wp:effectExtent l="0" t="0" r="0" b="0"/>
                  <wp:docPr id="25"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5E5373">
              <w:rPr>
                <w:color w:val="000000" w:themeColor="text1"/>
                <w:sz w:val="22"/>
                <w:szCs w:val="22"/>
                <w:lang w:val="ru-RU" w:eastAsia="ro-MD"/>
              </w:rPr>
              <w:t> определяется следующим образом:</w:t>
            </w:r>
          </w:p>
          <w:p w14:paraId="7A59F86D" w14:textId="52E68D07" w:rsidR="00B0458A" w:rsidRPr="005E5373" w:rsidRDefault="00B0458A" w:rsidP="003425C4">
            <w:pPr>
              <w:jc w:val="both"/>
              <w:rPr>
                <w:color w:val="000000" w:themeColor="text1"/>
                <w:sz w:val="22"/>
                <w:szCs w:val="22"/>
                <w:lang w:val="ru-RU" w:eastAsia="ro-MD"/>
              </w:rPr>
            </w:pPr>
            <w:r w:rsidRPr="005E5373">
              <w:rPr>
                <w:color w:val="000000" w:themeColor="text1"/>
                <w:sz w:val="22"/>
                <w:szCs w:val="22"/>
                <w:lang w:val="ru-RU" w:eastAsia="ro-MD"/>
              </w:rPr>
              <w:lastRenderedPageBreak/>
              <w:t>1) </w:t>
            </w:r>
            <w:r w:rsidR="00485EBD" w:rsidRPr="005E5373">
              <w:rPr>
                <w:color w:val="000000" w:themeColor="text1"/>
                <w:sz w:val="22"/>
                <w:szCs w:val="22"/>
                <w:lang w:val="ru-RU" w:eastAsia="ro-MD"/>
              </w:rPr>
              <w:t>положительный знак, если группа ценных бумаг</w:t>
            </w:r>
            <w:r w:rsidRPr="005E5373">
              <w:rPr>
                <w:color w:val="000000" w:themeColor="text1"/>
                <w:sz w:val="22"/>
                <w:szCs w:val="22"/>
                <w:lang w:val="ru-RU" w:eastAsia="ro-MD"/>
              </w:rPr>
              <w:t xml:space="preserve"> </w:t>
            </w:r>
            <w:r w:rsidRPr="005E5373">
              <w:rPr>
                <w:i/>
                <w:iCs/>
                <w:color w:val="000000" w:themeColor="text1"/>
                <w:sz w:val="22"/>
                <w:szCs w:val="22"/>
                <w:lang w:val="ru-RU" w:eastAsia="ro-MD"/>
              </w:rPr>
              <w:t>l</w:t>
            </w:r>
            <w:r w:rsidRPr="005E5373">
              <w:rPr>
                <w:color w:val="000000" w:themeColor="text1"/>
                <w:sz w:val="22"/>
                <w:szCs w:val="22"/>
                <w:lang w:val="ru-RU" w:eastAsia="ro-MD"/>
              </w:rPr>
              <w:t xml:space="preserve"> </w:t>
            </w:r>
            <w:r w:rsidR="00485EBD" w:rsidRPr="005E5373">
              <w:rPr>
                <w:color w:val="000000" w:themeColor="text1"/>
                <w:sz w:val="22"/>
                <w:szCs w:val="22"/>
                <w:lang w:val="ru-RU" w:eastAsia="ro-MD"/>
              </w:rPr>
              <w:t xml:space="preserve">передана в заем, продана с соглашением о выкупе или обращена в обращение способом, аналогичным передаче ценных бумаг в заем или заключению соглашения </w:t>
            </w:r>
            <w:proofErr w:type="spellStart"/>
            <w:r w:rsidR="00485EBD" w:rsidRPr="005E5373">
              <w:rPr>
                <w:color w:val="000000" w:themeColor="text1"/>
                <w:sz w:val="22"/>
                <w:szCs w:val="22"/>
                <w:lang w:val="ru-RU" w:eastAsia="ro-MD"/>
              </w:rPr>
              <w:t>репо</w:t>
            </w:r>
            <w:proofErr w:type="spellEnd"/>
            <w:r w:rsidRPr="005E5373">
              <w:rPr>
                <w:color w:val="000000" w:themeColor="text1"/>
                <w:sz w:val="22"/>
                <w:szCs w:val="22"/>
                <w:lang w:val="ru-RU" w:eastAsia="ro-MD"/>
              </w:rPr>
              <w:t>;</w:t>
            </w:r>
          </w:p>
          <w:p w14:paraId="689C7870" w14:textId="258DFB18" w:rsidR="00B0458A" w:rsidRPr="005E5373" w:rsidRDefault="00B0458A" w:rsidP="003425C4">
            <w:pPr>
              <w:jc w:val="both"/>
              <w:rPr>
                <w:color w:val="000000" w:themeColor="text1"/>
                <w:sz w:val="22"/>
                <w:szCs w:val="22"/>
                <w:lang w:val="ru-RU" w:eastAsia="ro-MD"/>
              </w:rPr>
            </w:pPr>
            <w:r w:rsidRPr="005E5373">
              <w:rPr>
                <w:color w:val="000000" w:themeColor="text1"/>
                <w:sz w:val="22"/>
                <w:szCs w:val="22"/>
                <w:lang w:val="ru-RU" w:eastAsia="ro-MD"/>
              </w:rPr>
              <w:t>2) </w:t>
            </w:r>
            <w:r w:rsidR="005E5373" w:rsidRPr="005E5373">
              <w:rPr>
                <w:color w:val="000000" w:themeColor="text1"/>
                <w:sz w:val="22"/>
                <w:szCs w:val="22"/>
                <w:lang w:val="ru-RU" w:eastAsia="ro-MD"/>
              </w:rPr>
              <w:t xml:space="preserve">отрицательный знак, если группа ценных бумаг </w:t>
            </w:r>
            <w:r w:rsidRPr="005E5373">
              <w:rPr>
                <w:i/>
                <w:iCs/>
                <w:color w:val="000000" w:themeColor="text1"/>
                <w:sz w:val="22"/>
                <w:szCs w:val="22"/>
                <w:lang w:val="ru-RU" w:eastAsia="ro-MD"/>
              </w:rPr>
              <w:t>l</w:t>
            </w:r>
            <w:r w:rsidRPr="005E5373">
              <w:rPr>
                <w:color w:val="000000" w:themeColor="text1"/>
                <w:sz w:val="22"/>
                <w:szCs w:val="22"/>
                <w:lang w:val="ru-RU" w:eastAsia="ro-MD"/>
              </w:rPr>
              <w:t xml:space="preserve"> </w:t>
            </w:r>
            <w:r w:rsidR="005E5373" w:rsidRPr="005E5373">
              <w:rPr>
                <w:color w:val="000000" w:themeColor="text1"/>
                <w:sz w:val="22"/>
                <w:szCs w:val="22"/>
                <w:lang w:val="ru-RU" w:eastAsia="ro-MD"/>
              </w:rPr>
              <w:t>взята в заем, приобретена по соглашению о обратной продаже или обращается способом, аналогичным заимствованию ценных бумаг или соглашению о реверс-</w:t>
            </w:r>
            <w:proofErr w:type="spellStart"/>
            <w:r w:rsidR="005E5373" w:rsidRPr="005E5373">
              <w:rPr>
                <w:color w:val="000000" w:themeColor="text1"/>
                <w:sz w:val="22"/>
                <w:szCs w:val="22"/>
                <w:lang w:val="ru-RU" w:eastAsia="ro-MD"/>
              </w:rPr>
              <w:t>репо</w:t>
            </w:r>
            <w:proofErr w:type="spellEnd"/>
            <w:r w:rsidRPr="005E5373">
              <w:rPr>
                <w:color w:val="000000" w:themeColor="text1"/>
                <w:sz w:val="22"/>
                <w:szCs w:val="22"/>
                <w:lang w:val="ru-RU" w:eastAsia="ro-MD"/>
              </w:rPr>
              <w:t>;</w:t>
            </w:r>
          </w:p>
        </w:tc>
      </w:tr>
    </w:tbl>
    <w:p w14:paraId="0DBBB82E" w14:textId="77777777" w:rsidR="006F2AB2" w:rsidRPr="00884D1F" w:rsidRDefault="006F2AB2" w:rsidP="006F2AB2">
      <w:pPr>
        <w:shd w:val="clear" w:color="auto" w:fill="FFFFFF"/>
        <w:rPr>
          <w:vanish/>
          <w:color w:val="000000" w:themeColor="text1"/>
          <w:sz w:val="22"/>
          <w:szCs w:val="22"/>
          <w:lang w:val="ro-RO" w:eastAsia="ro-MD"/>
        </w:rPr>
      </w:pPr>
    </w:p>
    <w:tbl>
      <w:tblPr>
        <w:tblW w:w="5000" w:type="pct"/>
        <w:tblCellMar>
          <w:left w:w="0" w:type="dxa"/>
          <w:right w:w="0" w:type="dxa"/>
        </w:tblCellMar>
        <w:tblLook w:val="04A0" w:firstRow="1" w:lastRow="0" w:firstColumn="1" w:lastColumn="0" w:noHBand="0" w:noVBand="1"/>
      </w:tblPr>
      <w:tblGrid>
        <w:gridCol w:w="159"/>
        <w:gridCol w:w="9530"/>
      </w:tblGrid>
      <w:tr w:rsidR="006F2AB2" w:rsidRPr="007544BA" w14:paraId="74801C05" w14:textId="77777777" w:rsidTr="003425C4">
        <w:tc>
          <w:tcPr>
            <w:tcW w:w="0" w:type="auto"/>
            <w:hideMark/>
          </w:tcPr>
          <w:p w14:paraId="75956F49" w14:textId="77777777" w:rsidR="006F2AB2" w:rsidRPr="00C6314D" w:rsidRDefault="006F2AB2" w:rsidP="003425C4">
            <w:pPr>
              <w:spacing w:before="195" w:line="312" w:lineRule="atLeast"/>
              <w:rPr>
                <w:b/>
                <w:bCs/>
                <w:color w:val="000000" w:themeColor="text1"/>
                <w:sz w:val="22"/>
                <w:szCs w:val="22"/>
                <w:lang w:val="ru-RU" w:eastAsia="ro-MD"/>
              </w:rPr>
            </w:pPr>
            <w:r w:rsidRPr="00C6314D">
              <w:rPr>
                <w:b/>
                <w:bCs/>
                <w:color w:val="000000" w:themeColor="text1"/>
                <w:sz w:val="22"/>
                <w:szCs w:val="22"/>
                <w:lang w:val="ru-RU" w:eastAsia="ro-MD"/>
              </w:rPr>
              <w:t>N</w:t>
            </w:r>
          </w:p>
        </w:tc>
        <w:tc>
          <w:tcPr>
            <w:tcW w:w="0" w:type="auto"/>
            <w:hideMark/>
          </w:tcPr>
          <w:p w14:paraId="00DB34AA" w14:textId="51529FDC" w:rsidR="006F2AB2" w:rsidRPr="00C6314D" w:rsidRDefault="006F2AB2" w:rsidP="003425C4">
            <w:pPr>
              <w:spacing w:before="195" w:line="312" w:lineRule="atLeast"/>
              <w:jc w:val="both"/>
              <w:rPr>
                <w:color w:val="000000" w:themeColor="text1"/>
                <w:sz w:val="22"/>
                <w:szCs w:val="22"/>
                <w:lang w:val="ru-RU" w:eastAsia="ro-MD"/>
              </w:rPr>
            </w:pPr>
            <w:r w:rsidRPr="00C6314D">
              <w:rPr>
                <w:color w:val="000000" w:themeColor="text1"/>
                <w:sz w:val="22"/>
                <w:szCs w:val="22"/>
                <w:lang w:val="ru-RU" w:eastAsia="ro-MD"/>
              </w:rPr>
              <w:t xml:space="preserve">= </w:t>
            </w:r>
            <w:r w:rsidR="00DA0A8C" w:rsidRPr="00C6314D">
              <w:rPr>
                <w:color w:val="000000" w:themeColor="text1"/>
                <w:sz w:val="22"/>
                <w:szCs w:val="22"/>
                <w:lang w:val="ru-RU" w:eastAsia="ro-MD"/>
              </w:rPr>
              <w:t>общее количество отдельных групп ценных бумаг одного и того же вида и отдельных групп товаров одного и того же вида в рамках соглашения; для целей данного расчета не учитываются группы и типы</w:t>
            </w:r>
            <m:oMath>
              <m:sSubSup>
                <m:sSubSupPr>
                  <m:ctrlPr>
                    <w:rPr>
                      <w:rFonts w:ascii="Cambria Math" w:hAnsi="Cambria Math"/>
                      <w:i/>
                      <w:color w:val="000000" w:themeColor="text1"/>
                      <w:sz w:val="22"/>
                      <w:szCs w:val="22"/>
                      <w:lang w:val="ru-RU" w:eastAsia="ro-MD"/>
                    </w:rPr>
                  </m:ctrlPr>
                </m:sSubSupPr>
                <m:e>
                  <m:r>
                    <w:rPr>
                      <w:rFonts w:ascii="Cambria Math" w:hAnsi="Cambria Math"/>
                      <w:color w:val="000000" w:themeColor="text1"/>
                      <w:sz w:val="22"/>
                      <w:szCs w:val="22"/>
                      <w:lang w:val="ru-RU" w:eastAsia="ro-MD"/>
                    </w:rPr>
                    <m:t>E</m:t>
                  </m:r>
                </m:e>
                <m:sub>
                  <m:r>
                    <w:rPr>
                      <w:rFonts w:ascii="Cambria Math" w:hAnsi="Cambria Math"/>
                      <w:color w:val="000000" w:themeColor="text1"/>
                      <w:sz w:val="22"/>
                      <w:szCs w:val="22"/>
                      <w:lang w:val="ru-RU" w:eastAsia="ro-MD"/>
                    </w:rPr>
                    <m:t>l</m:t>
                  </m:r>
                </m:sub>
                <m:sup>
                  <m:r>
                    <w:rPr>
                      <w:rFonts w:ascii="Cambria Math" w:hAnsi="Cambria Math"/>
                      <w:color w:val="000000" w:themeColor="text1"/>
                      <w:sz w:val="22"/>
                      <w:szCs w:val="22"/>
                      <w:lang w:val="ru-RU" w:eastAsia="ro-MD"/>
                    </w:rPr>
                    <m:t>sec</m:t>
                  </m:r>
                </m:sup>
              </m:sSubSup>
            </m:oMath>
            <w:r w:rsidRPr="00C6314D">
              <w:rPr>
                <w:color w:val="000000" w:themeColor="text1"/>
                <w:sz w:val="22"/>
                <w:szCs w:val="22"/>
                <w:lang w:val="ru-RU" w:eastAsia="ro-MD"/>
              </w:rPr>
              <w:t> </w:t>
            </w:r>
            <w:r w:rsidR="00DA0A8C" w:rsidRPr="00C6314D">
              <w:rPr>
                <w:color w:val="000000" w:themeColor="text1"/>
                <w:sz w:val="22"/>
                <w:szCs w:val="22"/>
                <w:lang w:val="ru-RU" w:eastAsia="ro-MD"/>
              </w:rPr>
              <w:t>для которых</w:t>
            </w:r>
            <w:r w:rsidR="008453ED" w:rsidRPr="00C6314D">
              <w:rPr>
                <w:color w:val="000000" w:themeColor="text1"/>
                <w:sz w:val="22"/>
                <w:szCs w:val="22"/>
                <w:lang w:val="ru-RU" w:eastAsia="ro-MD"/>
              </w:rPr>
              <w:t xml:space="preserve"> </w:t>
            </w:r>
            <m:oMath>
              <m:d>
                <m:dPr>
                  <m:begChr m:val="|"/>
                  <m:endChr m:val="|"/>
                  <m:ctrlPr>
                    <w:rPr>
                      <w:rFonts w:ascii="Cambria Math" w:hAnsi="Cambria Math"/>
                      <w:i/>
                      <w:color w:val="000000" w:themeColor="text1"/>
                      <w:sz w:val="22"/>
                      <w:szCs w:val="22"/>
                      <w:lang w:val="ru-RU" w:eastAsia="ro-MD"/>
                    </w:rPr>
                  </m:ctrlPr>
                </m:dPr>
                <m:e>
                  <m:sSubSup>
                    <m:sSubSupPr>
                      <m:ctrlPr>
                        <w:rPr>
                          <w:rFonts w:ascii="Cambria Math" w:hAnsi="Cambria Math"/>
                          <w:i/>
                          <w:color w:val="000000" w:themeColor="text1"/>
                          <w:sz w:val="22"/>
                          <w:szCs w:val="22"/>
                          <w:lang w:val="ru-RU" w:eastAsia="ro-MD"/>
                        </w:rPr>
                      </m:ctrlPr>
                    </m:sSubSupPr>
                    <m:e>
                      <m:r>
                        <w:rPr>
                          <w:rFonts w:ascii="Cambria Math" w:hAnsi="Cambria Math"/>
                          <w:color w:val="000000" w:themeColor="text1"/>
                          <w:sz w:val="22"/>
                          <w:szCs w:val="22"/>
                          <w:lang w:val="ru-RU" w:eastAsia="ro-MD"/>
                        </w:rPr>
                        <m:t>E</m:t>
                      </m:r>
                    </m:e>
                    <m:sub>
                      <m:r>
                        <w:rPr>
                          <w:rFonts w:ascii="Cambria Math" w:hAnsi="Cambria Math"/>
                          <w:color w:val="000000" w:themeColor="text1"/>
                          <w:sz w:val="22"/>
                          <w:szCs w:val="22"/>
                          <w:lang w:val="ru-RU" w:eastAsia="ro-MD"/>
                        </w:rPr>
                        <m:t>l</m:t>
                      </m:r>
                    </m:sub>
                    <m:sup>
                      <m:r>
                        <w:rPr>
                          <w:rFonts w:ascii="Cambria Math" w:hAnsi="Cambria Math"/>
                          <w:color w:val="000000" w:themeColor="text1"/>
                          <w:sz w:val="22"/>
                          <w:szCs w:val="22"/>
                          <w:lang w:val="ru-RU" w:eastAsia="ro-MD"/>
                        </w:rPr>
                        <m:t>sec</m:t>
                      </m:r>
                    </m:sup>
                  </m:sSubSup>
                </m:e>
              </m:d>
            </m:oMath>
            <w:r w:rsidR="00DA0A8C" w:rsidRPr="00C6314D">
              <w:rPr>
                <w:color w:val="000000" w:themeColor="text1"/>
                <w:sz w:val="22"/>
                <w:szCs w:val="22"/>
                <w:lang w:val="ru-RU" w:eastAsia="ro-MD"/>
              </w:rPr>
              <w:t>меньше чем</w:t>
            </w:r>
            <w:r w:rsidRPr="00C6314D">
              <w:rPr>
                <w:color w:val="000000" w:themeColor="text1"/>
                <w:sz w:val="22"/>
                <w:szCs w:val="22"/>
                <w:lang w:val="ru-RU" w:eastAsia="ro-MD"/>
              </w:rPr>
              <w:t xml:space="preserve">  </w:t>
            </w:r>
            <m:oMath>
              <m:f>
                <m:fPr>
                  <m:ctrlPr>
                    <w:rPr>
                      <w:rFonts w:ascii="Cambria Math" w:hAnsi="Cambria Math"/>
                      <w:i/>
                      <w:color w:val="000000" w:themeColor="text1"/>
                      <w:sz w:val="22"/>
                      <w:szCs w:val="22"/>
                      <w:lang w:val="ru-RU" w:eastAsia="ro-MD"/>
                    </w:rPr>
                  </m:ctrlPr>
                </m:fPr>
                <m:num>
                  <m:r>
                    <w:rPr>
                      <w:rFonts w:ascii="Cambria Math" w:hAnsi="Cambria Math"/>
                      <w:color w:val="000000" w:themeColor="text1"/>
                      <w:sz w:val="22"/>
                      <w:szCs w:val="22"/>
                      <w:lang w:val="ru-RU" w:eastAsia="ro-MD"/>
                    </w:rPr>
                    <m:t>1</m:t>
                  </m:r>
                </m:num>
                <m:den>
                  <m:r>
                    <w:rPr>
                      <w:rFonts w:ascii="Cambria Math" w:hAnsi="Cambria Math"/>
                      <w:color w:val="000000" w:themeColor="text1"/>
                      <w:sz w:val="22"/>
                      <w:szCs w:val="22"/>
                      <w:lang w:val="ru-RU" w:eastAsia="ro-MD"/>
                    </w:rPr>
                    <m:t>10</m:t>
                  </m:r>
                </m:den>
              </m:f>
              <m:sSub>
                <m:sSubPr>
                  <m:ctrlPr>
                    <w:rPr>
                      <w:rFonts w:ascii="Cambria Math" w:hAnsi="Cambria Math"/>
                      <w:i/>
                      <w:color w:val="000000" w:themeColor="text1"/>
                      <w:sz w:val="22"/>
                      <w:szCs w:val="22"/>
                      <w:lang w:val="ru-RU" w:eastAsia="ro-MD"/>
                    </w:rPr>
                  </m:ctrlPr>
                </m:sSubPr>
                <m:e>
                  <m:r>
                    <w:rPr>
                      <w:rFonts w:ascii="Cambria Math" w:hAnsi="Cambria Math"/>
                      <w:color w:val="000000" w:themeColor="text1"/>
                      <w:sz w:val="22"/>
                      <w:szCs w:val="22"/>
                      <w:lang w:val="ru-RU" w:eastAsia="ro-MD"/>
                    </w:rPr>
                    <m:t>max</m:t>
                  </m:r>
                </m:e>
                <m:sub>
                  <m:r>
                    <w:rPr>
                      <w:rFonts w:ascii="Cambria Math" w:hAnsi="Cambria Math"/>
                      <w:color w:val="000000" w:themeColor="text1"/>
                      <w:sz w:val="22"/>
                      <w:szCs w:val="22"/>
                      <w:lang w:val="ru-RU" w:eastAsia="ro-MD"/>
                    </w:rPr>
                    <m:t>l</m:t>
                  </m:r>
                </m:sub>
              </m:sSub>
              <m:d>
                <m:dPr>
                  <m:ctrlPr>
                    <w:rPr>
                      <w:rFonts w:ascii="Cambria Math" w:hAnsi="Cambria Math"/>
                      <w:i/>
                      <w:color w:val="000000" w:themeColor="text1"/>
                      <w:sz w:val="22"/>
                      <w:szCs w:val="22"/>
                      <w:lang w:val="ru-RU" w:eastAsia="ro-MD"/>
                    </w:rPr>
                  </m:ctrlPr>
                </m:dPr>
                <m:e>
                  <m:d>
                    <m:dPr>
                      <m:begChr m:val="|"/>
                      <m:endChr m:val="|"/>
                      <m:ctrlPr>
                        <w:rPr>
                          <w:rFonts w:ascii="Cambria Math" w:hAnsi="Cambria Math"/>
                          <w:i/>
                          <w:color w:val="000000" w:themeColor="text1"/>
                          <w:sz w:val="22"/>
                          <w:szCs w:val="22"/>
                          <w:lang w:val="ru-RU" w:eastAsia="ro-MD"/>
                        </w:rPr>
                      </m:ctrlPr>
                    </m:dPr>
                    <m:e>
                      <m:sSubSup>
                        <m:sSubSupPr>
                          <m:ctrlPr>
                            <w:rPr>
                              <w:rFonts w:ascii="Cambria Math" w:hAnsi="Cambria Math"/>
                              <w:i/>
                              <w:color w:val="000000" w:themeColor="text1"/>
                              <w:sz w:val="22"/>
                              <w:szCs w:val="22"/>
                              <w:lang w:val="ru-RU" w:eastAsia="ro-MD"/>
                            </w:rPr>
                          </m:ctrlPr>
                        </m:sSubSupPr>
                        <m:e>
                          <m:r>
                            <w:rPr>
                              <w:rFonts w:ascii="Cambria Math" w:hAnsi="Cambria Math"/>
                              <w:color w:val="000000" w:themeColor="text1"/>
                              <w:sz w:val="22"/>
                              <w:szCs w:val="22"/>
                              <w:lang w:val="ru-RU" w:eastAsia="ro-MD"/>
                            </w:rPr>
                            <m:t>E</m:t>
                          </m:r>
                        </m:e>
                        <m:sub>
                          <m:r>
                            <w:rPr>
                              <w:rFonts w:ascii="Cambria Math" w:hAnsi="Cambria Math"/>
                              <w:color w:val="000000" w:themeColor="text1"/>
                              <w:sz w:val="22"/>
                              <w:szCs w:val="22"/>
                              <w:lang w:val="ru-RU" w:eastAsia="ro-MD"/>
                            </w:rPr>
                            <m:t>l</m:t>
                          </m:r>
                        </m:sub>
                        <m:sup>
                          <m:r>
                            <w:rPr>
                              <w:rFonts w:ascii="Cambria Math" w:hAnsi="Cambria Math"/>
                              <w:color w:val="000000" w:themeColor="text1"/>
                              <w:sz w:val="22"/>
                              <w:szCs w:val="22"/>
                              <w:lang w:val="ru-RU" w:eastAsia="ro-MD"/>
                            </w:rPr>
                            <m:t>sec</m:t>
                          </m:r>
                        </m:sup>
                      </m:sSubSup>
                    </m:e>
                  </m:d>
                </m:e>
              </m:d>
            </m:oMath>
            <w:r w:rsidRPr="00C6314D">
              <w:rPr>
                <w:color w:val="000000" w:themeColor="text1"/>
                <w:sz w:val="22"/>
                <w:szCs w:val="22"/>
                <w:lang w:val="ru-RU" w:eastAsia="ro-MD"/>
              </w:rPr>
              <w:t>;</w:t>
            </w:r>
          </w:p>
        </w:tc>
      </w:tr>
    </w:tbl>
    <w:p w14:paraId="71BFE9D8" w14:textId="77777777" w:rsidR="006F2AB2" w:rsidRPr="00C6314D" w:rsidRDefault="006F2AB2" w:rsidP="006F2AB2">
      <w:pPr>
        <w:shd w:val="clear" w:color="auto" w:fill="FFFFFF"/>
        <w:rPr>
          <w:vanish/>
          <w:color w:val="000000" w:themeColor="text1"/>
          <w:sz w:val="22"/>
          <w:szCs w:val="22"/>
          <w:lang w:val="ru-RU" w:eastAsia="ro-MD"/>
        </w:rPr>
      </w:pPr>
    </w:p>
    <w:tbl>
      <w:tblPr>
        <w:tblW w:w="5000" w:type="pct"/>
        <w:tblCellMar>
          <w:left w:w="0" w:type="dxa"/>
          <w:right w:w="0" w:type="dxa"/>
        </w:tblCellMar>
        <w:tblLook w:val="04A0" w:firstRow="1" w:lastRow="0" w:firstColumn="1" w:lastColumn="0" w:noHBand="0" w:noVBand="1"/>
      </w:tblPr>
      <w:tblGrid>
        <w:gridCol w:w="481"/>
        <w:gridCol w:w="9208"/>
      </w:tblGrid>
      <w:tr w:rsidR="000B2CBE" w:rsidRPr="007544BA" w14:paraId="3A293CDA" w14:textId="77777777" w:rsidTr="003425C4">
        <w:tc>
          <w:tcPr>
            <w:tcW w:w="0" w:type="auto"/>
            <w:hideMark/>
          </w:tcPr>
          <w:p w14:paraId="6A7AFCC7" w14:textId="77777777" w:rsidR="006F2AB2" w:rsidRPr="00C6314D" w:rsidRDefault="006F2AB2" w:rsidP="003425C4">
            <w:pPr>
              <w:spacing w:before="195" w:line="312" w:lineRule="atLeast"/>
              <w:rPr>
                <w:b/>
                <w:bCs/>
                <w:color w:val="000000" w:themeColor="text1"/>
                <w:sz w:val="22"/>
                <w:szCs w:val="22"/>
                <w:lang w:val="ru-RU" w:eastAsia="ro-MD"/>
              </w:rPr>
            </w:pPr>
            <w:proofErr w:type="spellStart"/>
            <w:r w:rsidRPr="00C6314D">
              <w:rPr>
                <w:b/>
                <w:bCs/>
                <w:i/>
                <w:iCs/>
                <w:color w:val="000000" w:themeColor="text1"/>
                <w:sz w:val="22"/>
                <w:szCs w:val="22"/>
                <w:lang w:val="ru-RU" w:eastAsia="ro-MD"/>
              </w:rPr>
              <w:t>E</w:t>
            </w:r>
            <w:r w:rsidRPr="00C6314D">
              <w:rPr>
                <w:b/>
                <w:bCs/>
                <w:i/>
                <w:iCs/>
                <w:color w:val="000000" w:themeColor="text1"/>
                <w:sz w:val="22"/>
                <w:szCs w:val="22"/>
                <w:vertAlign w:val="subscript"/>
                <w:lang w:val="ru-RU" w:eastAsia="ro-MD"/>
              </w:rPr>
              <w:t>brut</w:t>
            </w:r>
            <w:proofErr w:type="spellEnd"/>
          </w:p>
        </w:tc>
        <w:tc>
          <w:tcPr>
            <w:tcW w:w="0" w:type="auto"/>
            <w:hideMark/>
          </w:tcPr>
          <w:p w14:paraId="0B403B22" w14:textId="646020C9" w:rsidR="006F2AB2" w:rsidRPr="00C6314D" w:rsidRDefault="006F2AB2" w:rsidP="003425C4">
            <w:pPr>
              <w:spacing w:before="120" w:line="312" w:lineRule="atLeast"/>
              <w:jc w:val="both"/>
              <w:rPr>
                <w:color w:val="000000" w:themeColor="text1"/>
                <w:sz w:val="22"/>
                <w:szCs w:val="22"/>
                <w:lang w:val="ru-RU" w:eastAsia="ro-MD"/>
              </w:rPr>
            </w:pPr>
            <w:r w:rsidRPr="00C6314D">
              <w:rPr>
                <w:color w:val="000000" w:themeColor="text1"/>
                <w:sz w:val="22"/>
                <w:szCs w:val="22"/>
                <w:lang w:val="ru-RU" w:eastAsia="ro-MD"/>
              </w:rPr>
              <w:t xml:space="preserve">= </w:t>
            </w:r>
            <w:r w:rsidR="00C6314D" w:rsidRPr="00C6314D">
              <w:rPr>
                <w:color w:val="000000" w:themeColor="text1"/>
                <w:sz w:val="22"/>
                <w:szCs w:val="22"/>
                <w:lang w:val="ru-RU" w:eastAsia="ro-MD"/>
              </w:rPr>
              <w:t>валовая подверженность по соглашению, рассчитанная следующим образом</w:t>
            </w:r>
            <w:r w:rsidRPr="00C6314D">
              <w:rPr>
                <w:color w:val="000000" w:themeColor="text1"/>
                <w:sz w:val="22"/>
                <w:szCs w:val="22"/>
                <w:lang w:val="ru-RU" w:eastAsia="ro-MD"/>
              </w:rPr>
              <w:t>:</w:t>
            </w:r>
          </w:p>
        </w:tc>
      </w:tr>
    </w:tbl>
    <w:p w14:paraId="5B104532" w14:textId="3EF270E2" w:rsidR="006F2AB2" w:rsidRPr="00884D1F" w:rsidRDefault="006F2AB2" w:rsidP="006F2AB2">
      <w:pPr>
        <w:spacing w:before="120" w:line="312" w:lineRule="atLeast"/>
        <w:jc w:val="both"/>
        <w:rPr>
          <w:color w:val="000000" w:themeColor="text1"/>
          <w:sz w:val="22"/>
          <w:szCs w:val="22"/>
          <w:lang w:val="ro-RO" w:eastAsia="ro-MD"/>
        </w:rPr>
      </w:pPr>
      <w:r w:rsidRPr="00884D1F">
        <w:rPr>
          <w:noProof/>
          <w:color w:val="000000" w:themeColor="text1"/>
          <w:sz w:val="22"/>
          <w:szCs w:val="22"/>
          <w:lang w:val="ro-RO"/>
        </w:rPr>
        <w:drawing>
          <wp:inline distT="0" distB="0" distL="0" distR="0" wp14:anchorId="4E865418" wp14:editId="240D5305">
            <wp:extent cx="1847850" cy="685800"/>
            <wp:effectExtent l="0" t="0" r="0" b="0"/>
            <wp:docPr id="29" name="Picture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685800"/>
                    </a:xfrm>
                    <a:prstGeom prst="rect">
                      <a:avLst/>
                    </a:prstGeom>
                    <a:noFill/>
                    <a:ln>
                      <a:noFill/>
                    </a:ln>
                  </pic:spPr>
                </pic:pic>
              </a:graphicData>
            </a:graphic>
          </wp:inline>
        </w:drawing>
      </w:r>
      <w:r w:rsidR="008453ED" w:rsidRPr="00884D1F">
        <w:rPr>
          <w:color w:val="000000" w:themeColor="text1"/>
          <w:sz w:val="22"/>
          <w:szCs w:val="22"/>
          <w:lang w:val="ro-RO" w:eastAsia="ro-MD"/>
        </w:rPr>
        <w:t>”</w:t>
      </w:r>
      <w:r w:rsidRPr="00884D1F">
        <w:rPr>
          <w:color w:val="000000" w:themeColor="text1"/>
          <w:sz w:val="22"/>
          <w:szCs w:val="22"/>
          <w:lang w:val="ro-RO" w:eastAsia="ro-MD"/>
        </w:rPr>
        <w:t xml:space="preserve">.   </w:t>
      </w:r>
    </w:p>
    <w:p w14:paraId="6EBDEAEE" w14:textId="11D38E4C" w:rsidR="00433305" w:rsidRPr="00125EBC" w:rsidRDefault="00C6314D" w:rsidP="00831AF6">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125EBC">
        <w:rPr>
          <w:color w:val="000000" w:themeColor="text1"/>
          <w:sz w:val="22"/>
          <w:szCs w:val="22"/>
          <w:lang w:val="ru-RU"/>
        </w:rPr>
        <w:t>Пункт</w:t>
      </w:r>
      <w:r w:rsidR="00433305" w:rsidRPr="00125EBC">
        <w:rPr>
          <w:color w:val="000000" w:themeColor="text1"/>
          <w:sz w:val="22"/>
          <w:szCs w:val="22"/>
          <w:lang w:val="ru-RU"/>
        </w:rPr>
        <w:t xml:space="preserve"> 71</w:t>
      </w:r>
      <w:r w:rsidR="006952B7" w:rsidRPr="00125EBC">
        <w:rPr>
          <w:color w:val="000000" w:themeColor="text1"/>
          <w:sz w:val="22"/>
          <w:szCs w:val="22"/>
          <w:lang w:val="ru-RU"/>
        </w:rPr>
        <w:t>,</w:t>
      </w:r>
      <w:r w:rsidRPr="00125EBC">
        <w:rPr>
          <w:color w:val="000000" w:themeColor="text1"/>
          <w:sz w:val="22"/>
          <w:szCs w:val="22"/>
          <w:lang w:val="ru-RU"/>
        </w:rPr>
        <w:t xml:space="preserve"> после слов «</w:t>
      </w:r>
      <w:r w:rsidRPr="00125EBC">
        <w:rPr>
          <w:sz w:val="22"/>
          <w:szCs w:val="22"/>
          <w:lang w:val="ru-RU" w:eastAsia="ro-MD"/>
        </w:rPr>
        <w:t>стоимости подверженностей с учетом риска</w:t>
      </w:r>
      <w:r w:rsidR="000B6B71" w:rsidRPr="00125EBC">
        <w:rPr>
          <w:sz w:val="22"/>
          <w:szCs w:val="22"/>
          <w:lang w:val="ru-RU" w:eastAsia="ro-MD"/>
        </w:rPr>
        <w:t>» дополнить словами «и размеров ожидаемых убытков», а в конце дополнить словами «</w:t>
      </w:r>
      <w:r w:rsidR="000F06F1" w:rsidRPr="00125EBC">
        <w:rPr>
          <w:sz w:val="22"/>
          <w:szCs w:val="22"/>
          <w:lang w:val="ru-RU" w:eastAsia="ro-MD"/>
        </w:rPr>
        <w:t>и</w:t>
      </w:r>
      <w:r w:rsidR="000F06F1" w:rsidRPr="00125EBC">
        <w:rPr>
          <w:color w:val="000000" w:themeColor="text1"/>
          <w:sz w:val="22"/>
          <w:szCs w:val="22"/>
          <w:lang w:val="ru-RU" w:eastAsia="ro-MD"/>
        </w:rPr>
        <w:t xml:space="preserve"> нормативн</w:t>
      </w:r>
      <w:r w:rsidR="00125EBC" w:rsidRPr="00125EBC">
        <w:rPr>
          <w:color w:val="000000" w:themeColor="text1"/>
          <w:sz w:val="22"/>
          <w:szCs w:val="22"/>
          <w:lang w:val="ru-RU" w:eastAsia="ro-MD"/>
        </w:rPr>
        <w:t>ым</w:t>
      </w:r>
      <w:r w:rsidR="000F06F1" w:rsidRPr="00125EBC">
        <w:rPr>
          <w:color w:val="000000" w:themeColor="text1"/>
          <w:sz w:val="22"/>
          <w:szCs w:val="22"/>
          <w:lang w:val="ru-RU" w:eastAsia="ro-MD"/>
        </w:rPr>
        <w:t xml:space="preserve"> акт</w:t>
      </w:r>
      <w:r w:rsidR="00125EBC" w:rsidRPr="00125EBC">
        <w:rPr>
          <w:color w:val="000000" w:themeColor="text1"/>
          <w:sz w:val="22"/>
          <w:szCs w:val="22"/>
          <w:lang w:val="ru-RU" w:eastAsia="ro-MD"/>
        </w:rPr>
        <w:t>ом</w:t>
      </w:r>
      <w:r w:rsidR="000F06F1" w:rsidRPr="00125EBC">
        <w:rPr>
          <w:color w:val="000000" w:themeColor="text1"/>
          <w:sz w:val="22"/>
          <w:szCs w:val="22"/>
          <w:lang w:val="ru-RU" w:eastAsia="ro-MD"/>
        </w:rPr>
        <w:t xml:space="preserve"> Национального банка </w:t>
      </w:r>
      <w:r w:rsidR="00125EBC" w:rsidRPr="00125EBC">
        <w:rPr>
          <w:color w:val="000000" w:themeColor="text1"/>
          <w:sz w:val="22"/>
          <w:szCs w:val="22"/>
          <w:lang w:val="ru-RU" w:eastAsia="ro-MD"/>
        </w:rPr>
        <w:t>Молдовы об</w:t>
      </w:r>
      <w:r w:rsidR="000F06F1" w:rsidRPr="00125EBC">
        <w:rPr>
          <w:color w:val="000000" w:themeColor="text1"/>
          <w:sz w:val="22"/>
          <w:szCs w:val="22"/>
          <w:lang w:val="ru-RU" w:eastAsia="ro-MD"/>
        </w:rPr>
        <w:t xml:space="preserve"> отношении </w:t>
      </w:r>
      <w:r w:rsidR="000728FD">
        <w:rPr>
          <w:color w:val="000000" w:themeColor="text1"/>
          <w:sz w:val="22"/>
          <w:szCs w:val="22"/>
          <w:lang w:val="ru-RU" w:eastAsia="ro-MD"/>
        </w:rPr>
        <w:t>к кредитному риску в соответствии с подходом</w:t>
      </w:r>
      <w:r w:rsidR="000F06F1" w:rsidRPr="00125EBC">
        <w:rPr>
          <w:color w:val="000000" w:themeColor="text1"/>
          <w:sz w:val="22"/>
          <w:szCs w:val="22"/>
          <w:lang w:val="ru-RU" w:eastAsia="ro-MD"/>
        </w:rPr>
        <w:t>, основанным на внутренних рейтинговых моделях IRB</w:t>
      </w:r>
      <w:r w:rsidR="0073362D" w:rsidRPr="00125EBC">
        <w:rPr>
          <w:color w:val="000000" w:themeColor="text1"/>
          <w:sz w:val="22"/>
          <w:szCs w:val="22"/>
          <w:lang w:val="ru-RU" w:eastAsia="ro-MD"/>
        </w:rPr>
        <w:t>.</w:t>
      </w:r>
      <w:r w:rsidR="000F06F1" w:rsidRPr="00125EBC">
        <w:rPr>
          <w:color w:val="000000" w:themeColor="text1"/>
          <w:sz w:val="22"/>
          <w:szCs w:val="22"/>
          <w:lang w:val="ru-RU" w:eastAsia="ro-MD"/>
        </w:rPr>
        <w:t>»</w:t>
      </w:r>
      <w:r w:rsidR="0073362D" w:rsidRPr="00125EBC">
        <w:rPr>
          <w:color w:val="000000" w:themeColor="text1"/>
          <w:sz w:val="22"/>
          <w:szCs w:val="22"/>
          <w:lang w:val="ru-RU" w:eastAsia="ro-MD"/>
        </w:rPr>
        <w:t>.</w:t>
      </w:r>
    </w:p>
    <w:p w14:paraId="02E5FEBB" w14:textId="16F86BC1" w:rsidR="00831AF6" w:rsidRPr="00884D1F" w:rsidRDefault="00125EBC" w:rsidP="00831AF6">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Главу</w:t>
      </w:r>
      <w:r w:rsidR="00461AD5" w:rsidRPr="00884D1F">
        <w:rPr>
          <w:color w:val="000000" w:themeColor="text1"/>
          <w:sz w:val="22"/>
          <w:szCs w:val="22"/>
          <w:lang w:val="ro-MD"/>
        </w:rPr>
        <w:t xml:space="preserve"> VIII </w:t>
      </w:r>
      <w:r>
        <w:rPr>
          <w:color w:val="000000" w:themeColor="text1"/>
          <w:sz w:val="22"/>
          <w:szCs w:val="22"/>
          <w:lang w:val="ru-RU"/>
        </w:rPr>
        <w:t>дополнить частью</w:t>
      </w:r>
      <w:r w:rsidR="00461AD5" w:rsidRPr="00884D1F">
        <w:rPr>
          <w:color w:val="000000" w:themeColor="text1"/>
          <w:sz w:val="22"/>
          <w:szCs w:val="22"/>
          <w:lang w:val="ro-MD"/>
        </w:rPr>
        <w:t xml:space="preserve"> 2</w:t>
      </w:r>
      <w:r w:rsidR="00461AD5" w:rsidRPr="00884D1F">
        <w:rPr>
          <w:color w:val="000000" w:themeColor="text1"/>
          <w:sz w:val="22"/>
          <w:szCs w:val="22"/>
          <w:vertAlign w:val="superscript"/>
          <w:lang w:val="ro-MD"/>
        </w:rPr>
        <w:t>1</w:t>
      </w:r>
      <w:r w:rsidR="00461AD5" w:rsidRPr="00884D1F">
        <w:rPr>
          <w:color w:val="000000" w:themeColor="text1"/>
          <w:sz w:val="22"/>
          <w:szCs w:val="22"/>
          <w:lang w:val="ro-MD"/>
        </w:rPr>
        <w:t xml:space="preserve"> </w:t>
      </w:r>
      <w:r>
        <w:rPr>
          <w:color w:val="000000" w:themeColor="text1"/>
          <w:sz w:val="22"/>
          <w:szCs w:val="22"/>
          <w:lang w:val="ru-RU"/>
        </w:rPr>
        <w:t>следующего содержания</w:t>
      </w:r>
      <w:r w:rsidR="007B7B46" w:rsidRPr="00884D1F">
        <w:rPr>
          <w:color w:val="000000" w:themeColor="text1"/>
          <w:sz w:val="22"/>
          <w:szCs w:val="22"/>
          <w:lang w:val="ro-MD"/>
        </w:rPr>
        <w:t>:</w:t>
      </w:r>
    </w:p>
    <w:p w14:paraId="12A1E68E" w14:textId="1AC7B912" w:rsidR="00064BD9" w:rsidRPr="00884D1F" w:rsidRDefault="008F4CAA" w:rsidP="00064BD9">
      <w:pPr>
        <w:jc w:val="center"/>
        <w:rPr>
          <w:color w:val="000000" w:themeColor="text1"/>
          <w:sz w:val="22"/>
          <w:szCs w:val="22"/>
          <w:lang w:val="ro-RO" w:eastAsia="ro-MD"/>
        </w:rPr>
      </w:pPr>
      <w:r>
        <w:rPr>
          <w:b/>
          <w:bCs/>
          <w:i/>
          <w:iCs/>
          <w:color w:val="000000" w:themeColor="text1"/>
          <w:sz w:val="22"/>
          <w:szCs w:val="22"/>
          <w:lang w:val="ru-RU" w:eastAsia="ro-MD"/>
        </w:rPr>
        <w:t>«Часть</w:t>
      </w:r>
      <w:r w:rsidR="00064BD9" w:rsidRPr="00884D1F">
        <w:rPr>
          <w:b/>
          <w:bCs/>
          <w:i/>
          <w:iCs/>
          <w:color w:val="000000" w:themeColor="text1"/>
          <w:sz w:val="22"/>
          <w:szCs w:val="22"/>
          <w:lang w:val="ro-RO" w:eastAsia="ro-MD"/>
        </w:rPr>
        <w:t xml:space="preserve"> 2</w:t>
      </w:r>
      <w:r w:rsidR="00064BD9" w:rsidRPr="00884D1F">
        <w:rPr>
          <w:b/>
          <w:bCs/>
          <w:i/>
          <w:iCs/>
          <w:color w:val="000000" w:themeColor="text1"/>
          <w:sz w:val="22"/>
          <w:szCs w:val="22"/>
          <w:vertAlign w:val="superscript"/>
          <w:lang w:val="ro-RO" w:eastAsia="ro-MD"/>
        </w:rPr>
        <w:t>1</w:t>
      </w:r>
    </w:p>
    <w:p w14:paraId="2E2F0B7A" w14:textId="5DD8129F" w:rsidR="008F4CAA" w:rsidRPr="008F4CAA" w:rsidRDefault="008F4CAA" w:rsidP="008F4CAA">
      <w:pPr>
        <w:shd w:val="clear" w:color="auto" w:fill="FFFFFF"/>
        <w:jc w:val="center"/>
        <w:rPr>
          <w:b/>
          <w:bCs/>
          <w:i/>
          <w:iCs/>
          <w:color w:val="000000" w:themeColor="text1"/>
          <w:sz w:val="22"/>
          <w:szCs w:val="22"/>
          <w:lang w:val="ru-RU" w:eastAsia="ro-MD"/>
        </w:rPr>
      </w:pPr>
      <w:r w:rsidRPr="008F4CAA">
        <w:rPr>
          <w:b/>
          <w:bCs/>
          <w:i/>
          <w:iCs/>
          <w:color w:val="000000" w:themeColor="text1"/>
          <w:sz w:val="22"/>
          <w:szCs w:val="22"/>
          <w:lang w:val="ru-RU" w:eastAsia="ro-MD"/>
        </w:rPr>
        <w:t>Использование подхода, основанного на внутренних моделях, в случае</w:t>
      </w:r>
    </w:p>
    <w:p w14:paraId="09F541C8" w14:textId="20E938A6" w:rsidR="008F4CAA" w:rsidRPr="008F4CAA" w:rsidRDefault="008F4CAA" w:rsidP="008F4CAA">
      <w:pPr>
        <w:shd w:val="clear" w:color="auto" w:fill="FFFFFF"/>
        <w:jc w:val="center"/>
        <w:rPr>
          <w:b/>
          <w:bCs/>
          <w:i/>
          <w:iCs/>
          <w:color w:val="000000" w:themeColor="text1"/>
          <w:sz w:val="22"/>
          <w:szCs w:val="22"/>
          <w:lang w:val="ru-RU" w:eastAsia="ro-MD"/>
        </w:rPr>
      </w:pPr>
      <w:r w:rsidRPr="008F4CAA">
        <w:rPr>
          <w:b/>
          <w:bCs/>
          <w:i/>
          <w:iCs/>
          <w:color w:val="000000" w:themeColor="text1"/>
          <w:sz w:val="22"/>
          <w:szCs w:val="22"/>
          <w:lang w:val="ru-RU" w:eastAsia="ro-MD"/>
        </w:rPr>
        <w:t>рамочных соглашений о компенсации</w:t>
      </w:r>
    </w:p>
    <w:p w14:paraId="42BD662F" w14:textId="41EDAF01" w:rsidR="00064BD9" w:rsidRPr="00DB0C2B" w:rsidRDefault="00064BD9" w:rsidP="00064BD9">
      <w:pPr>
        <w:shd w:val="clear" w:color="auto" w:fill="FFFFFF"/>
        <w:jc w:val="both"/>
        <w:rPr>
          <w:color w:val="000000" w:themeColor="text1"/>
          <w:sz w:val="22"/>
          <w:szCs w:val="22"/>
          <w:lang w:val="ru-RU" w:eastAsia="ro-MD"/>
        </w:rPr>
      </w:pPr>
      <w:r w:rsidRPr="00DB0C2B">
        <w:rPr>
          <w:b/>
          <w:bCs/>
          <w:color w:val="000000" w:themeColor="text1"/>
          <w:sz w:val="22"/>
          <w:szCs w:val="22"/>
          <w:lang w:val="ru-RU" w:eastAsia="ro-MD"/>
        </w:rPr>
        <w:t>72</w:t>
      </w:r>
      <w:r w:rsidRPr="00DB0C2B">
        <w:rPr>
          <w:b/>
          <w:bCs/>
          <w:color w:val="000000" w:themeColor="text1"/>
          <w:sz w:val="22"/>
          <w:szCs w:val="22"/>
          <w:vertAlign w:val="superscript"/>
          <w:lang w:val="ru-RU" w:eastAsia="ro-MD"/>
        </w:rPr>
        <w:t>1</w:t>
      </w:r>
      <w:r w:rsidRPr="00DB0C2B">
        <w:rPr>
          <w:b/>
          <w:bCs/>
          <w:color w:val="000000" w:themeColor="text1"/>
          <w:sz w:val="22"/>
          <w:szCs w:val="22"/>
          <w:lang w:val="ru-RU" w:eastAsia="ro-MD"/>
        </w:rPr>
        <w:t>.</w:t>
      </w:r>
      <w:r w:rsidRPr="00DB0C2B">
        <w:rPr>
          <w:color w:val="000000" w:themeColor="text1"/>
          <w:sz w:val="22"/>
          <w:szCs w:val="22"/>
          <w:lang w:val="ru-RU" w:eastAsia="ro-MD"/>
        </w:rPr>
        <w:t xml:space="preserve"> </w:t>
      </w:r>
      <w:r w:rsidR="00DB0C2B" w:rsidRPr="00DB0C2B">
        <w:rPr>
          <w:color w:val="000000" w:themeColor="text1"/>
          <w:sz w:val="22"/>
          <w:szCs w:val="22"/>
          <w:lang w:val="ru-RU" w:eastAsia="ro-MD"/>
        </w:rPr>
        <w:t xml:space="preserve">В целях расчета взвешенных по риску сумм подверженностей и величин ожидаемых убытков по операциям финансирования с использованием финансовых инструментов или по другим операциям, скорректированным с учетом условий рынка капитала, кроме сделок с производными финансовыми инструментами, покрытых приемлемым рамочным соглашением о клиринге, отвечающим требованиям в отношении договорного клиринга, предусмотренным Регламентом № 220/2025, банк может рассчитывать полностью скорректированную величину риска (E*) соглашения, используя подход, основанный на внутренних моделях, если он соответствует условиям, предусмотренным в пункте </w:t>
      </w:r>
      <w:r w:rsidRPr="00DB0C2B">
        <w:rPr>
          <w:color w:val="000000" w:themeColor="text1"/>
          <w:sz w:val="22"/>
          <w:szCs w:val="22"/>
          <w:lang w:val="ru-RU" w:eastAsia="ro-MD"/>
        </w:rPr>
        <w:t>72</w:t>
      </w:r>
      <w:r w:rsidRPr="00DB0C2B">
        <w:rPr>
          <w:color w:val="000000" w:themeColor="text1"/>
          <w:sz w:val="22"/>
          <w:szCs w:val="22"/>
          <w:vertAlign w:val="superscript"/>
          <w:lang w:val="ru-RU" w:eastAsia="ro-MD"/>
        </w:rPr>
        <w:t>2</w:t>
      </w:r>
      <w:r w:rsidRPr="00DB0C2B">
        <w:rPr>
          <w:color w:val="000000" w:themeColor="text1"/>
          <w:sz w:val="22"/>
          <w:szCs w:val="22"/>
          <w:lang w:val="ru-RU" w:eastAsia="ro-MD"/>
        </w:rPr>
        <w:t>.</w:t>
      </w:r>
    </w:p>
    <w:p w14:paraId="7705F4A2" w14:textId="35C107E3" w:rsidR="00064BD9" w:rsidRPr="004B061F" w:rsidRDefault="00064BD9" w:rsidP="00064BD9">
      <w:pPr>
        <w:shd w:val="clear" w:color="auto" w:fill="FFFFFF"/>
        <w:jc w:val="both"/>
        <w:rPr>
          <w:color w:val="000000" w:themeColor="text1"/>
          <w:sz w:val="22"/>
          <w:szCs w:val="22"/>
          <w:lang w:val="ru-RU" w:eastAsia="ro-MD"/>
        </w:rPr>
      </w:pPr>
      <w:r w:rsidRPr="004B061F">
        <w:rPr>
          <w:b/>
          <w:bCs/>
          <w:color w:val="000000" w:themeColor="text1"/>
          <w:sz w:val="22"/>
          <w:szCs w:val="22"/>
          <w:lang w:val="ru-RU" w:eastAsia="ro-MD"/>
        </w:rPr>
        <w:t>72</w:t>
      </w:r>
      <w:r w:rsidRPr="004B061F">
        <w:rPr>
          <w:b/>
          <w:bCs/>
          <w:color w:val="000000" w:themeColor="text1"/>
          <w:sz w:val="22"/>
          <w:szCs w:val="22"/>
          <w:vertAlign w:val="superscript"/>
          <w:lang w:val="ru-RU" w:eastAsia="ro-MD"/>
        </w:rPr>
        <w:t>2</w:t>
      </w:r>
      <w:r w:rsidRPr="004B061F">
        <w:rPr>
          <w:b/>
          <w:bCs/>
          <w:color w:val="000000" w:themeColor="text1"/>
          <w:sz w:val="22"/>
          <w:szCs w:val="22"/>
          <w:lang w:val="ru-RU" w:eastAsia="ro-MD"/>
        </w:rPr>
        <w:t>.</w:t>
      </w:r>
      <w:r w:rsidRPr="004B061F">
        <w:rPr>
          <w:color w:val="000000" w:themeColor="text1"/>
          <w:sz w:val="22"/>
          <w:szCs w:val="22"/>
          <w:lang w:val="ru-RU" w:eastAsia="ro-MD"/>
        </w:rPr>
        <w:t> </w:t>
      </w:r>
      <w:r w:rsidR="00DB0C2B" w:rsidRPr="004B061F">
        <w:rPr>
          <w:color w:val="000000" w:themeColor="text1"/>
          <w:sz w:val="22"/>
          <w:szCs w:val="22"/>
          <w:lang w:val="ru-RU" w:eastAsia="ro-MD"/>
        </w:rPr>
        <w:t>Банк может использовать подход, основанный на внутренних моделях, если совокупно выполняются следующие условия</w:t>
      </w:r>
      <w:r w:rsidRPr="004B061F">
        <w:rPr>
          <w:color w:val="000000" w:themeColor="text1"/>
          <w:sz w:val="22"/>
          <w:szCs w:val="22"/>
          <w:lang w:val="ru-RU" w:eastAsia="ro-MD"/>
        </w:rPr>
        <w:t>:</w:t>
      </w:r>
    </w:p>
    <w:p w14:paraId="3A86E9B5" w14:textId="26422124" w:rsidR="00064BD9" w:rsidRPr="004B061F" w:rsidRDefault="00064BD9" w:rsidP="00064BD9">
      <w:pPr>
        <w:shd w:val="clear" w:color="auto" w:fill="FFFFFF"/>
        <w:ind w:firstLine="567"/>
        <w:jc w:val="both"/>
        <w:rPr>
          <w:color w:val="000000" w:themeColor="text1"/>
          <w:sz w:val="22"/>
          <w:szCs w:val="22"/>
          <w:lang w:val="ru-RU" w:eastAsia="ro-MD"/>
        </w:rPr>
      </w:pPr>
      <w:r w:rsidRPr="004B061F">
        <w:rPr>
          <w:color w:val="000000" w:themeColor="text1"/>
          <w:sz w:val="22"/>
          <w:szCs w:val="22"/>
          <w:lang w:val="ru-RU" w:eastAsia="ro-MD"/>
        </w:rPr>
        <w:t>1) </w:t>
      </w:r>
      <w:r w:rsidR="004B061F" w:rsidRPr="004B061F">
        <w:rPr>
          <w:color w:val="000000" w:themeColor="text1"/>
          <w:sz w:val="22"/>
          <w:szCs w:val="22"/>
          <w:lang w:val="ru-RU" w:eastAsia="ro-MD"/>
        </w:rPr>
        <w:t xml:space="preserve">банк использует данный подход только в отношении подверженностей, для которых риск-взвешенные суммы подверженностей рассчитываются в соответствии с подходом IRB, предусмотренным нормативным актом Национального банка Молдовы об отношении </w:t>
      </w:r>
      <w:r w:rsidR="000728FD">
        <w:rPr>
          <w:color w:val="000000" w:themeColor="text1"/>
          <w:sz w:val="22"/>
          <w:szCs w:val="22"/>
          <w:lang w:val="ru-RU" w:eastAsia="ro-MD"/>
        </w:rPr>
        <w:t>к кредитному риску в соответствии с подходом</w:t>
      </w:r>
      <w:r w:rsidR="004B061F" w:rsidRPr="004B061F">
        <w:rPr>
          <w:color w:val="000000" w:themeColor="text1"/>
          <w:sz w:val="22"/>
          <w:szCs w:val="22"/>
          <w:lang w:val="ru-RU" w:eastAsia="ro-MD"/>
        </w:rPr>
        <w:t>, основанным на внутренних рейтинговых моделях</w:t>
      </w:r>
      <w:r w:rsidRPr="004B061F">
        <w:rPr>
          <w:color w:val="000000" w:themeColor="text1"/>
          <w:sz w:val="22"/>
          <w:szCs w:val="22"/>
          <w:lang w:val="ru-RU" w:eastAsia="ro-MD"/>
        </w:rPr>
        <w:t>;</w:t>
      </w:r>
    </w:p>
    <w:p w14:paraId="64C08C29" w14:textId="7AFC063A" w:rsidR="00064BD9" w:rsidRPr="004B061F" w:rsidRDefault="00064BD9" w:rsidP="00064BD9">
      <w:pPr>
        <w:shd w:val="clear" w:color="auto" w:fill="FFFFFF"/>
        <w:ind w:firstLine="567"/>
        <w:jc w:val="both"/>
        <w:rPr>
          <w:color w:val="000000" w:themeColor="text1"/>
          <w:sz w:val="22"/>
          <w:szCs w:val="22"/>
          <w:lang w:val="ru-RU" w:eastAsia="ro-MD"/>
        </w:rPr>
      </w:pPr>
      <w:r w:rsidRPr="004B061F">
        <w:rPr>
          <w:color w:val="000000" w:themeColor="text1"/>
          <w:sz w:val="22"/>
          <w:szCs w:val="22"/>
          <w:lang w:val="ru-RU" w:eastAsia="ro-MD"/>
        </w:rPr>
        <w:t>2) </w:t>
      </w:r>
      <w:r w:rsidR="004B061F" w:rsidRPr="004B061F">
        <w:rPr>
          <w:color w:val="000000" w:themeColor="text1"/>
          <w:sz w:val="22"/>
          <w:szCs w:val="22"/>
          <w:lang w:val="ru-RU" w:eastAsia="ro-MD"/>
        </w:rPr>
        <w:t>банк получает разрешение на использование данного подхода от Национального банка Молдовы</w:t>
      </w:r>
      <w:r w:rsidRPr="004B061F">
        <w:rPr>
          <w:color w:val="000000" w:themeColor="text1"/>
          <w:sz w:val="22"/>
          <w:szCs w:val="22"/>
          <w:lang w:val="ru-RU" w:eastAsia="ro-MD"/>
        </w:rPr>
        <w:t>.</w:t>
      </w:r>
    </w:p>
    <w:p w14:paraId="64448312" w14:textId="33653BCE" w:rsidR="008414F6" w:rsidRPr="00450314" w:rsidRDefault="00064BD9" w:rsidP="00064BD9">
      <w:pPr>
        <w:shd w:val="clear" w:color="auto" w:fill="FFFFFF"/>
        <w:jc w:val="both"/>
        <w:rPr>
          <w:color w:val="000000" w:themeColor="text1"/>
          <w:sz w:val="22"/>
          <w:szCs w:val="22"/>
          <w:lang w:val="ru-RU" w:eastAsia="ro-MD"/>
        </w:rPr>
      </w:pPr>
      <w:r w:rsidRPr="00450314">
        <w:rPr>
          <w:b/>
          <w:bCs/>
          <w:color w:val="000000" w:themeColor="text1"/>
          <w:sz w:val="22"/>
          <w:szCs w:val="22"/>
          <w:lang w:val="ru-RU" w:eastAsia="ro-MD"/>
        </w:rPr>
        <w:t>72</w:t>
      </w:r>
      <w:r w:rsidRPr="00450314">
        <w:rPr>
          <w:b/>
          <w:bCs/>
          <w:color w:val="000000" w:themeColor="text1"/>
          <w:sz w:val="22"/>
          <w:szCs w:val="22"/>
          <w:vertAlign w:val="superscript"/>
          <w:lang w:val="ru-RU" w:eastAsia="ro-MD"/>
        </w:rPr>
        <w:t>3</w:t>
      </w:r>
      <w:r w:rsidRPr="00450314">
        <w:rPr>
          <w:b/>
          <w:bCs/>
          <w:color w:val="000000" w:themeColor="text1"/>
          <w:sz w:val="22"/>
          <w:szCs w:val="22"/>
          <w:lang w:val="ru-RU" w:eastAsia="ro-MD"/>
        </w:rPr>
        <w:t>.</w:t>
      </w:r>
      <w:r w:rsidRPr="00450314">
        <w:rPr>
          <w:color w:val="000000" w:themeColor="text1"/>
          <w:sz w:val="22"/>
          <w:szCs w:val="22"/>
          <w:lang w:val="ru-RU" w:eastAsia="ro-MD"/>
        </w:rPr>
        <w:t> </w:t>
      </w:r>
      <w:r w:rsidR="008414F6" w:rsidRPr="00450314">
        <w:rPr>
          <w:color w:val="000000" w:themeColor="text1"/>
          <w:sz w:val="22"/>
          <w:szCs w:val="22"/>
          <w:lang w:val="ru-RU" w:eastAsia="ro-MD"/>
        </w:rPr>
        <w:t>Банк, применяющий подход на основе внутренних моделей, использует этот подход в отношении всех контрагентов и ценных бумаг, за исключением незначительных портфелей, для которых он может применять подход на основе регулируемых корректировок волатильности, предусмотренный пунктами 68–72.</w:t>
      </w:r>
    </w:p>
    <w:p w14:paraId="79E5891C" w14:textId="1E1C20CD" w:rsidR="00064BD9" w:rsidRPr="00450314" w:rsidRDefault="00064BD9" w:rsidP="00064BD9">
      <w:pPr>
        <w:shd w:val="clear" w:color="auto" w:fill="FFFFFF"/>
        <w:jc w:val="both"/>
        <w:rPr>
          <w:color w:val="000000" w:themeColor="text1"/>
          <w:sz w:val="22"/>
          <w:szCs w:val="22"/>
          <w:lang w:val="ru-RU" w:eastAsia="ro-MD"/>
        </w:rPr>
      </w:pPr>
      <w:r w:rsidRPr="00450314">
        <w:rPr>
          <w:b/>
          <w:bCs/>
          <w:color w:val="000000" w:themeColor="text1"/>
          <w:sz w:val="22"/>
          <w:szCs w:val="22"/>
          <w:lang w:val="ru-RU" w:eastAsia="ro-MD"/>
        </w:rPr>
        <w:t>72</w:t>
      </w:r>
      <w:r w:rsidRPr="00450314">
        <w:rPr>
          <w:b/>
          <w:bCs/>
          <w:color w:val="000000" w:themeColor="text1"/>
          <w:sz w:val="22"/>
          <w:szCs w:val="22"/>
          <w:vertAlign w:val="superscript"/>
          <w:lang w:val="ru-RU" w:eastAsia="ro-MD"/>
        </w:rPr>
        <w:t>4</w:t>
      </w:r>
      <w:r w:rsidRPr="00450314">
        <w:rPr>
          <w:b/>
          <w:bCs/>
          <w:color w:val="000000" w:themeColor="text1"/>
          <w:sz w:val="22"/>
          <w:szCs w:val="22"/>
          <w:lang w:val="ru-RU" w:eastAsia="ro-MD"/>
        </w:rPr>
        <w:t>.</w:t>
      </w:r>
      <w:r w:rsidRPr="00450314">
        <w:rPr>
          <w:color w:val="000000" w:themeColor="text1"/>
          <w:sz w:val="22"/>
          <w:szCs w:val="22"/>
          <w:lang w:val="ru-RU" w:eastAsia="ro-MD"/>
        </w:rPr>
        <w:t xml:space="preserve"> </w:t>
      </w:r>
      <w:r w:rsidR="008414F6" w:rsidRPr="00450314">
        <w:rPr>
          <w:color w:val="000000" w:themeColor="text1"/>
          <w:sz w:val="22"/>
          <w:szCs w:val="22"/>
          <w:lang w:val="ru-RU" w:eastAsia="ro-MD"/>
        </w:rPr>
        <w:t>Национальный банк Молдовы разрешает банку использовать подход, основанный на внутренних моделях, только при наличии убедительных доказательств того, что система, используемая банком для управления рисками, возникающими в результате операций, охватываемых рамочным соглашением о клиринге, является концептуально обоснованной и правильно применяется, а также при соблюдении следующих качественных требований</w:t>
      </w:r>
      <w:r w:rsidRPr="00450314">
        <w:rPr>
          <w:color w:val="000000" w:themeColor="text1"/>
          <w:sz w:val="22"/>
          <w:szCs w:val="22"/>
          <w:lang w:val="ru-RU" w:eastAsia="ro-MD"/>
        </w:rPr>
        <w:t>:</w:t>
      </w:r>
    </w:p>
    <w:p w14:paraId="75CA02AF" w14:textId="1CD97EC8" w:rsidR="00064BD9" w:rsidRPr="00450314" w:rsidRDefault="00064BD9" w:rsidP="00064BD9">
      <w:pPr>
        <w:shd w:val="clear" w:color="auto" w:fill="FFFFFF"/>
        <w:ind w:firstLine="567"/>
        <w:jc w:val="both"/>
        <w:rPr>
          <w:color w:val="000000" w:themeColor="text1"/>
          <w:sz w:val="22"/>
          <w:szCs w:val="22"/>
          <w:lang w:val="ru-RU" w:eastAsia="ro-MD"/>
        </w:rPr>
      </w:pPr>
      <w:r w:rsidRPr="00450314">
        <w:rPr>
          <w:color w:val="000000" w:themeColor="text1"/>
          <w:sz w:val="22"/>
          <w:szCs w:val="22"/>
          <w:lang w:val="ru-RU" w:eastAsia="ro-MD"/>
        </w:rPr>
        <w:lastRenderedPageBreak/>
        <w:t>1) </w:t>
      </w:r>
      <w:r w:rsidR="008B5E30" w:rsidRPr="00450314">
        <w:rPr>
          <w:color w:val="000000" w:themeColor="text1"/>
          <w:sz w:val="22"/>
          <w:szCs w:val="22"/>
          <w:lang w:val="ru-RU" w:eastAsia="ro-MD"/>
        </w:rPr>
        <w:t>внутренняя модель оценки рисков, используемая для расчета потенциальной волатильности цен сделок, тесно интегрирована в ежедневный процесс управления рисками и служит основой для отчетности о подверженностях перед высшим руководством банка</w:t>
      </w:r>
      <w:r w:rsidRPr="00450314">
        <w:rPr>
          <w:color w:val="000000" w:themeColor="text1"/>
          <w:sz w:val="22"/>
          <w:szCs w:val="22"/>
          <w:lang w:val="ru-RU" w:eastAsia="ro-MD"/>
        </w:rPr>
        <w:t>;</w:t>
      </w:r>
    </w:p>
    <w:p w14:paraId="61D5FC2B" w14:textId="3FC72AB5" w:rsidR="00064BD9" w:rsidRPr="00450314" w:rsidRDefault="00064BD9" w:rsidP="00064BD9">
      <w:pPr>
        <w:shd w:val="clear" w:color="auto" w:fill="FFFFFF"/>
        <w:ind w:firstLine="567"/>
        <w:jc w:val="both"/>
        <w:rPr>
          <w:color w:val="000000" w:themeColor="text1"/>
          <w:sz w:val="22"/>
          <w:szCs w:val="22"/>
          <w:lang w:val="ru-RU" w:eastAsia="ro-MD"/>
        </w:rPr>
      </w:pPr>
      <w:r w:rsidRPr="00450314">
        <w:rPr>
          <w:color w:val="000000" w:themeColor="text1"/>
          <w:sz w:val="22"/>
          <w:szCs w:val="22"/>
          <w:lang w:val="ru-RU" w:eastAsia="ro-MD"/>
        </w:rPr>
        <w:t>2) </w:t>
      </w:r>
      <w:r w:rsidR="008B5E30" w:rsidRPr="00450314">
        <w:rPr>
          <w:color w:val="000000" w:themeColor="text1"/>
          <w:sz w:val="22"/>
          <w:szCs w:val="22"/>
          <w:lang w:val="ru-RU" w:eastAsia="ro-MD"/>
        </w:rPr>
        <w:t>банк располагает подразделением по контролю рисков, которое в совокупности отвечает следующим требованиям</w:t>
      </w:r>
      <w:r w:rsidRPr="00450314">
        <w:rPr>
          <w:color w:val="000000" w:themeColor="text1"/>
          <w:sz w:val="22"/>
          <w:szCs w:val="22"/>
          <w:lang w:val="ru-RU" w:eastAsia="ro-MD"/>
        </w:rPr>
        <w:t>:</w:t>
      </w:r>
    </w:p>
    <w:p w14:paraId="6937DC8E" w14:textId="37BB5200" w:rsidR="00064BD9" w:rsidRPr="00450314" w:rsidRDefault="00064BD9" w:rsidP="00064BD9">
      <w:pPr>
        <w:shd w:val="clear" w:color="auto" w:fill="FFFFFF"/>
        <w:ind w:firstLine="567"/>
        <w:jc w:val="both"/>
        <w:rPr>
          <w:color w:val="000000" w:themeColor="text1"/>
          <w:sz w:val="22"/>
          <w:szCs w:val="22"/>
          <w:lang w:val="ru-RU" w:eastAsia="ro-MD"/>
        </w:rPr>
      </w:pPr>
      <w:r w:rsidRPr="00450314">
        <w:rPr>
          <w:color w:val="000000" w:themeColor="text1"/>
          <w:sz w:val="22"/>
          <w:szCs w:val="22"/>
          <w:lang w:val="ru-RU" w:eastAsia="ro-MD"/>
        </w:rPr>
        <w:t>a) </w:t>
      </w:r>
      <w:r w:rsidR="00FB1E32" w:rsidRPr="00450314">
        <w:rPr>
          <w:color w:val="000000" w:themeColor="text1"/>
          <w:sz w:val="22"/>
          <w:szCs w:val="22"/>
          <w:lang w:val="ru-RU" w:eastAsia="ro-MD"/>
        </w:rPr>
        <w:t>оно независимо от подразделений, осуществляющих сделки, и подчиняется непосредственно высшему руководству</w:t>
      </w:r>
      <w:r w:rsidRPr="00450314">
        <w:rPr>
          <w:color w:val="000000" w:themeColor="text1"/>
          <w:sz w:val="22"/>
          <w:szCs w:val="22"/>
          <w:lang w:val="ru-RU" w:eastAsia="ro-MD"/>
        </w:rPr>
        <w:t>;</w:t>
      </w:r>
    </w:p>
    <w:p w14:paraId="1F1512BF" w14:textId="7BA9C4BB" w:rsidR="00064BD9" w:rsidRPr="00450314" w:rsidRDefault="00064BD9" w:rsidP="00064BD9">
      <w:pPr>
        <w:shd w:val="clear" w:color="auto" w:fill="FFFFFF"/>
        <w:ind w:firstLine="567"/>
        <w:jc w:val="both"/>
        <w:rPr>
          <w:color w:val="000000" w:themeColor="text1"/>
          <w:sz w:val="22"/>
          <w:szCs w:val="22"/>
          <w:lang w:val="ru-RU" w:eastAsia="ro-MD"/>
        </w:rPr>
      </w:pPr>
      <w:r w:rsidRPr="00450314">
        <w:rPr>
          <w:color w:val="000000" w:themeColor="text1"/>
          <w:sz w:val="22"/>
          <w:szCs w:val="22"/>
          <w:lang w:val="ru-RU" w:eastAsia="ro-MD"/>
        </w:rPr>
        <w:t>b) </w:t>
      </w:r>
      <w:r w:rsidR="00FB1E32" w:rsidRPr="00450314">
        <w:rPr>
          <w:color w:val="000000" w:themeColor="text1"/>
          <w:sz w:val="22"/>
          <w:szCs w:val="22"/>
          <w:lang w:val="ru-RU" w:eastAsia="ro-MD"/>
        </w:rPr>
        <w:t>отвечает за разработку и внедрение системы управления рисками банка</w:t>
      </w:r>
      <w:r w:rsidRPr="00450314">
        <w:rPr>
          <w:color w:val="000000" w:themeColor="text1"/>
          <w:sz w:val="22"/>
          <w:szCs w:val="22"/>
          <w:lang w:val="ru-RU" w:eastAsia="ro-MD"/>
        </w:rPr>
        <w:t>;</w:t>
      </w:r>
    </w:p>
    <w:p w14:paraId="067CF717" w14:textId="376BFD8B" w:rsidR="00064BD9" w:rsidRPr="00597C30" w:rsidRDefault="00064BD9" w:rsidP="00064BD9">
      <w:pPr>
        <w:shd w:val="clear" w:color="auto" w:fill="FFFFFF"/>
        <w:ind w:firstLine="567"/>
        <w:jc w:val="both"/>
        <w:rPr>
          <w:color w:val="000000" w:themeColor="text1"/>
          <w:sz w:val="22"/>
          <w:szCs w:val="22"/>
          <w:lang w:val="ru-RU" w:eastAsia="ro-MD"/>
        </w:rPr>
      </w:pPr>
      <w:r w:rsidRPr="00597C30">
        <w:rPr>
          <w:color w:val="000000" w:themeColor="text1"/>
          <w:sz w:val="22"/>
          <w:szCs w:val="22"/>
          <w:lang w:val="ru-RU" w:eastAsia="ro-MD"/>
        </w:rPr>
        <w:t>c) </w:t>
      </w:r>
      <w:r w:rsidR="00450314" w:rsidRPr="00597C30">
        <w:rPr>
          <w:color w:val="000000" w:themeColor="text1"/>
          <w:sz w:val="22"/>
          <w:szCs w:val="22"/>
          <w:lang w:val="ru-RU" w:eastAsia="ro-MD"/>
        </w:rPr>
        <w:t>готовит и анализирует ежедневные отчеты о результатах модели оценки рисков и о надлежащих мерах, которые необходимо принять в отношении лимитов позиций</w:t>
      </w:r>
      <w:r w:rsidRPr="00597C30">
        <w:rPr>
          <w:color w:val="000000" w:themeColor="text1"/>
          <w:sz w:val="22"/>
          <w:szCs w:val="22"/>
          <w:lang w:val="ru-RU" w:eastAsia="ro-MD"/>
        </w:rPr>
        <w:t>;</w:t>
      </w:r>
    </w:p>
    <w:p w14:paraId="031FEEB2" w14:textId="3199FFA6" w:rsidR="00064BD9" w:rsidRPr="00597C30" w:rsidRDefault="00064BD9" w:rsidP="00064BD9">
      <w:pPr>
        <w:shd w:val="clear" w:color="auto" w:fill="FFFFFF"/>
        <w:ind w:firstLine="567"/>
        <w:jc w:val="both"/>
        <w:rPr>
          <w:color w:val="000000" w:themeColor="text1"/>
          <w:sz w:val="22"/>
          <w:szCs w:val="22"/>
          <w:lang w:val="ru-RU" w:eastAsia="ro-MD"/>
        </w:rPr>
      </w:pPr>
      <w:r w:rsidRPr="00597C30">
        <w:rPr>
          <w:color w:val="000000" w:themeColor="text1"/>
          <w:sz w:val="22"/>
          <w:szCs w:val="22"/>
          <w:lang w:val="ru-RU" w:eastAsia="ro-MD"/>
        </w:rPr>
        <w:t>3) </w:t>
      </w:r>
      <w:r w:rsidR="00C72AFE" w:rsidRPr="00597C30">
        <w:rPr>
          <w:color w:val="000000" w:themeColor="text1"/>
          <w:sz w:val="22"/>
          <w:szCs w:val="22"/>
          <w:lang w:val="ru-RU" w:eastAsia="ro-MD"/>
        </w:rPr>
        <w:t>ежедневные отчеты, составляемые подразделением по контролю рисков, анализируются руководством, обладающим достаточными полномочиями для принятия решений о сокращении открытых позиций и общей подверженности риску;</w:t>
      </w:r>
    </w:p>
    <w:p w14:paraId="7B14E51F" w14:textId="5E663734" w:rsidR="00064BD9" w:rsidRPr="00597C30" w:rsidRDefault="00064BD9" w:rsidP="00064BD9">
      <w:pPr>
        <w:shd w:val="clear" w:color="auto" w:fill="FFFFFF"/>
        <w:ind w:firstLine="567"/>
        <w:jc w:val="both"/>
        <w:rPr>
          <w:color w:val="000000" w:themeColor="text1"/>
          <w:sz w:val="22"/>
          <w:szCs w:val="22"/>
          <w:lang w:val="ru-RU" w:eastAsia="ro-MD"/>
        </w:rPr>
      </w:pPr>
      <w:r w:rsidRPr="00597C30">
        <w:rPr>
          <w:color w:val="000000" w:themeColor="text1"/>
          <w:sz w:val="22"/>
          <w:szCs w:val="22"/>
          <w:lang w:val="ru-RU" w:eastAsia="ro-MD"/>
        </w:rPr>
        <w:t>4) </w:t>
      </w:r>
      <w:r w:rsidR="00C72AFE" w:rsidRPr="00597C30">
        <w:rPr>
          <w:color w:val="000000" w:themeColor="text1"/>
          <w:sz w:val="22"/>
          <w:szCs w:val="22"/>
          <w:lang w:val="ru-RU" w:eastAsia="ro-MD"/>
        </w:rPr>
        <w:t>банк располагает в рамках подразделения по контролю рисков достаточным количеством квалифицированного персонала, способного работать со сложными моделями</w:t>
      </w:r>
      <w:r w:rsidRPr="00597C30">
        <w:rPr>
          <w:color w:val="000000" w:themeColor="text1"/>
          <w:sz w:val="22"/>
          <w:szCs w:val="22"/>
          <w:lang w:val="ru-RU" w:eastAsia="ro-MD"/>
        </w:rPr>
        <w:t>;</w:t>
      </w:r>
    </w:p>
    <w:p w14:paraId="6BA6DAE3" w14:textId="6C6F4752" w:rsidR="00064BD9" w:rsidRPr="00597C30" w:rsidRDefault="00064BD9" w:rsidP="00064BD9">
      <w:pPr>
        <w:shd w:val="clear" w:color="auto" w:fill="FFFFFF"/>
        <w:ind w:firstLine="567"/>
        <w:jc w:val="both"/>
        <w:rPr>
          <w:color w:val="000000" w:themeColor="text1"/>
          <w:sz w:val="22"/>
          <w:szCs w:val="22"/>
          <w:lang w:val="ru-RU" w:eastAsia="ro-MD"/>
        </w:rPr>
      </w:pPr>
      <w:r w:rsidRPr="00597C30">
        <w:rPr>
          <w:color w:val="000000" w:themeColor="text1"/>
          <w:sz w:val="22"/>
          <w:szCs w:val="22"/>
          <w:lang w:val="ru-RU" w:eastAsia="ro-MD"/>
        </w:rPr>
        <w:t xml:space="preserve">5) </w:t>
      </w:r>
      <w:r w:rsidR="00C72AFE" w:rsidRPr="00597C30">
        <w:rPr>
          <w:color w:val="000000" w:themeColor="text1"/>
          <w:sz w:val="22"/>
          <w:szCs w:val="22"/>
          <w:lang w:val="ru-RU" w:eastAsia="ro-MD"/>
        </w:rPr>
        <w:t>банк установил процедуры для мониторинга и обеспечения соблюдения формализованного набора политик и внутренних контролей, касающихся общего функционирования системы оценки рисков</w:t>
      </w:r>
      <w:r w:rsidRPr="00597C30">
        <w:rPr>
          <w:color w:val="000000" w:themeColor="text1"/>
          <w:sz w:val="22"/>
          <w:szCs w:val="22"/>
          <w:lang w:val="ru-RU" w:eastAsia="ro-MD"/>
        </w:rPr>
        <w:t>;</w:t>
      </w:r>
    </w:p>
    <w:p w14:paraId="7B281459" w14:textId="522FDFF9" w:rsidR="00064BD9" w:rsidRPr="00597C30" w:rsidRDefault="00A3547E" w:rsidP="00064BD9">
      <w:pPr>
        <w:shd w:val="clear" w:color="auto" w:fill="FFFFFF"/>
        <w:ind w:firstLine="567"/>
        <w:jc w:val="both"/>
        <w:rPr>
          <w:color w:val="000000" w:themeColor="text1"/>
          <w:sz w:val="22"/>
          <w:szCs w:val="22"/>
          <w:lang w:val="ru-RU" w:eastAsia="ro-MD"/>
        </w:rPr>
      </w:pPr>
      <w:r w:rsidRPr="00597C30">
        <w:rPr>
          <w:color w:val="000000" w:themeColor="text1"/>
          <w:sz w:val="22"/>
          <w:szCs w:val="22"/>
          <w:lang w:val="ru-RU" w:eastAsia="ro-MD"/>
        </w:rPr>
        <w:t xml:space="preserve">6) </w:t>
      </w:r>
      <w:r w:rsidR="00C72AFE" w:rsidRPr="00597C30">
        <w:rPr>
          <w:color w:val="000000" w:themeColor="text1"/>
          <w:sz w:val="22"/>
          <w:szCs w:val="22"/>
          <w:lang w:val="ru-RU" w:eastAsia="ro-MD"/>
        </w:rPr>
        <w:t>модели банка имеют историю, демонстрирующую разумную точность в оценке рисков, подтвержденную последующим тестированием их результатов с использованием данных за период не менее одного года</w:t>
      </w:r>
      <w:r w:rsidR="00064BD9" w:rsidRPr="00597C30">
        <w:rPr>
          <w:color w:val="000000" w:themeColor="text1"/>
          <w:sz w:val="22"/>
          <w:szCs w:val="22"/>
          <w:lang w:val="ru-RU" w:eastAsia="ro-MD"/>
        </w:rPr>
        <w:t>;</w:t>
      </w:r>
    </w:p>
    <w:p w14:paraId="4BA18B19" w14:textId="6DA1E46F" w:rsidR="00064BD9" w:rsidRPr="00597C30" w:rsidRDefault="00064BD9" w:rsidP="00064BD9">
      <w:pPr>
        <w:shd w:val="clear" w:color="auto" w:fill="FFFFFF"/>
        <w:ind w:firstLine="567"/>
        <w:jc w:val="both"/>
        <w:rPr>
          <w:color w:val="000000" w:themeColor="text1"/>
          <w:sz w:val="22"/>
          <w:szCs w:val="22"/>
          <w:lang w:val="ru-RU" w:eastAsia="ro-MD"/>
        </w:rPr>
      </w:pPr>
      <w:r w:rsidRPr="00597C30">
        <w:rPr>
          <w:color w:val="000000" w:themeColor="text1"/>
          <w:sz w:val="22"/>
          <w:szCs w:val="22"/>
          <w:lang w:val="ru-RU" w:eastAsia="ro-MD"/>
        </w:rPr>
        <w:t>7) </w:t>
      </w:r>
      <w:r w:rsidR="00597C30" w:rsidRPr="00597C30">
        <w:rPr>
          <w:color w:val="000000" w:themeColor="text1"/>
          <w:sz w:val="22"/>
          <w:szCs w:val="22"/>
          <w:lang w:val="ru-RU" w:eastAsia="ro-MD"/>
        </w:rPr>
        <w:t>банк регулярно проводит тщательную программу кризисного моделирования, а результаты этих тестов рассматриваются высшим руководством и отражаются в устанавливаемых им политиках и лимитах</w:t>
      </w:r>
      <w:r w:rsidRPr="00597C30">
        <w:rPr>
          <w:color w:val="000000" w:themeColor="text1"/>
          <w:sz w:val="22"/>
          <w:szCs w:val="22"/>
          <w:lang w:val="ru-RU" w:eastAsia="ro-MD"/>
        </w:rPr>
        <w:t>;</w:t>
      </w:r>
    </w:p>
    <w:p w14:paraId="0F622629" w14:textId="451C550B" w:rsidR="00064BD9" w:rsidRPr="00C44EBB" w:rsidRDefault="00064BD9" w:rsidP="00064BD9">
      <w:pPr>
        <w:shd w:val="clear" w:color="auto" w:fill="FFFFFF"/>
        <w:ind w:firstLine="567"/>
        <w:jc w:val="both"/>
        <w:rPr>
          <w:color w:val="000000" w:themeColor="text1"/>
          <w:sz w:val="22"/>
          <w:szCs w:val="22"/>
          <w:lang w:val="ru-MD" w:eastAsia="ro-MD"/>
        </w:rPr>
      </w:pPr>
      <w:r w:rsidRPr="00C44EBB">
        <w:rPr>
          <w:color w:val="000000" w:themeColor="text1"/>
          <w:sz w:val="22"/>
          <w:szCs w:val="22"/>
          <w:lang w:val="ru-MD" w:eastAsia="ro-MD"/>
        </w:rPr>
        <w:t>8) </w:t>
      </w:r>
      <w:r w:rsidR="00597C30" w:rsidRPr="00C44EBB">
        <w:rPr>
          <w:color w:val="000000" w:themeColor="text1"/>
          <w:sz w:val="22"/>
          <w:szCs w:val="22"/>
          <w:lang w:val="ru-MD" w:eastAsia="ro-MD"/>
        </w:rPr>
        <w:t>банк проводит в рамках своего периодического процесса внутреннего аудита независимую проверку системы оценки рисков. Эта проверка охватывает как деятельность подразделений, осуществляющих операции, так и деятельность независимого подразделения по контролю рисков</w:t>
      </w:r>
      <w:r w:rsidRPr="00C44EBB">
        <w:rPr>
          <w:color w:val="000000" w:themeColor="text1"/>
          <w:sz w:val="22"/>
          <w:szCs w:val="22"/>
          <w:lang w:val="ru-MD" w:eastAsia="ro-MD"/>
        </w:rPr>
        <w:t>;</w:t>
      </w:r>
    </w:p>
    <w:p w14:paraId="435EB1D6" w14:textId="67535E42" w:rsidR="00064BD9" w:rsidRPr="00C44EBB" w:rsidRDefault="00064BD9" w:rsidP="00064BD9">
      <w:pPr>
        <w:shd w:val="clear" w:color="auto" w:fill="FFFFFF"/>
        <w:ind w:firstLine="567"/>
        <w:jc w:val="both"/>
        <w:rPr>
          <w:color w:val="000000" w:themeColor="text1"/>
          <w:sz w:val="22"/>
          <w:szCs w:val="22"/>
          <w:lang w:val="ru-MD" w:eastAsia="ro-MD"/>
        </w:rPr>
      </w:pPr>
      <w:r w:rsidRPr="00C44EBB">
        <w:rPr>
          <w:color w:val="000000" w:themeColor="text1"/>
          <w:sz w:val="22"/>
          <w:szCs w:val="22"/>
          <w:lang w:val="ru-MD" w:eastAsia="ro-MD"/>
        </w:rPr>
        <w:t>9) </w:t>
      </w:r>
      <w:r w:rsidR="00C44EBB" w:rsidRPr="00C44EBB">
        <w:rPr>
          <w:color w:val="000000" w:themeColor="text1"/>
          <w:sz w:val="22"/>
          <w:szCs w:val="22"/>
          <w:lang w:val="ru-MD" w:eastAsia="ro-MD"/>
        </w:rPr>
        <w:t>банк проводит пересмотр своей системы управления рисками не реже одного раза в год</w:t>
      </w:r>
      <w:r w:rsidRPr="00C44EBB">
        <w:rPr>
          <w:color w:val="000000" w:themeColor="text1"/>
          <w:sz w:val="22"/>
          <w:szCs w:val="22"/>
          <w:lang w:val="ru-MD" w:eastAsia="ro-MD"/>
        </w:rPr>
        <w:t>;</w:t>
      </w:r>
    </w:p>
    <w:p w14:paraId="22D92866" w14:textId="3CBDF86B" w:rsidR="00064BD9" w:rsidRPr="00C44EBB" w:rsidRDefault="00064BD9" w:rsidP="00064BD9">
      <w:pPr>
        <w:shd w:val="clear" w:color="auto" w:fill="FFFFFF"/>
        <w:ind w:firstLine="567"/>
        <w:jc w:val="both"/>
        <w:rPr>
          <w:color w:val="000000" w:themeColor="text1"/>
          <w:sz w:val="22"/>
          <w:szCs w:val="22"/>
          <w:lang w:val="ru-MD" w:eastAsia="ro-MD"/>
        </w:rPr>
      </w:pPr>
      <w:r w:rsidRPr="00C44EBB">
        <w:rPr>
          <w:color w:val="000000" w:themeColor="text1"/>
          <w:sz w:val="22"/>
          <w:szCs w:val="22"/>
          <w:lang w:val="ru-MD" w:eastAsia="ro-MD"/>
        </w:rPr>
        <w:t>10) </w:t>
      </w:r>
      <w:r w:rsidR="00C44EBB" w:rsidRPr="00C44EBB">
        <w:rPr>
          <w:color w:val="000000" w:themeColor="text1"/>
          <w:sz w:val="22"/>
          <w:szCs w:val="22"/>
          <w:lang w:val="ru-MD" w:eastAsia="ro-MD"/>
        </w:rPr>
        <w:t>внутренняя модель соответствует требованиям в отношении целостности процесса моделирования и требованиям к валидации, установленным в Регламенте № 220/2025</w:t>
      </w:r>
      <w:r w:rsidRPr="00C44EBB">
        <w:rPr>
          <w:color w:val="000000" w:themeColor="text1"/>
          <w:sz w:val="22"/>
          <w:szCs w:val="22"/>
          <w:lang w:val="ru-MD" w:eastAsia="ro-MD"/>
        </w:rPr>
        <w:t>.</w:t>
      </w:r>
    </w:p>
    <w:p w14:paraId="7FEF99BB" w14:textId="684609DE" w:rsidR="00064BD9" w:rsidRPr="007D7B7B" w:rsidRDefault="00064BD9" w:rsidP="00064BD9">
      <w:pPr>
        <w:shd w:val="clear" w:color="auto" w:fill="FFFFFF"/>
        <w:jc w:val="both"/>
        <w:rPr>
          <w:color w:val="000000" w:themeColor="text1"/>
          <w:sz w:val="22"/>
          <w:szCs w:val="22"/>
          <w:lang w:val="ru-RU" w:eastAsia="ro-MD"/>
        </w:rPr>
      </w:pPr>
      <w:r w:rsidRPr="007D7B7B">
        <w:rPr>
          <w:b/>
          <w:bCs/>
          <w:color w:val="000000" w:themeColor="text1"/>
          <w:sz w:val="22"/>
          <w:szCs w:val="22"/>
          <w:lang w:val="ru-RU" w:eastAsia="ro-MD"/>
        </w:rPr>
        <w:t>72</w:t>
      </w:r>
      <w:r w:rsidRPr="007D7B7B">
        <w:rPr>
          <w:b/>
          <w:bCs/>
          <w:color w:val="000000" w:themeColor="text1"/>
          <w:sz w:val="22"/>
          <w:szCs w:val="22"/>
          <w:vertAlign w:val="superscript"/>
          <w:lang w:val="ru-RU" w:eastAsia="ro-MD"/>
        </w:rPr>
        <w:t>5</w:t>
      </w:r>
      <w:r w:rsidRPr="007D7B7B">
        <w:rPr>
          <w:b/>
          <w:bCs/>
          <w:color w:val="000000" w:themeColor="text1"/>
          <w:sz w:val="22"/>
          <w:szCs w:val="22"/>
          <w:lang w:val="ru-RU" w:eastAsia="ro-MD"/>
        </w:rPr>
        <w:t>.</w:t>
      </w:r>
      <w:r w:rsidRPr="007D7B7B">
        <w:rPr>
          <w:color w:val="000000" w:themeColor="text1"/>
          <w:sz w:val="22"/>
          <w:szCs w:val="22"/>
          <w:lang w:val="ru-RU" w:eastAsia="ro-MD"/>
        </w:rPr>
        <w:t xml:space="preserve"> </w:t>
      </w:r>
      <w:r w:rsidR="001F76E1" w:rsidRPr="007D7B7B">
        <w:rPr>
          <w:color w:val="000000" w:themeColor="text1"/>
          <w:sz w:val="22"/>
          <w:szCs w:val="22"/>
          <w:lang w:val="ru-RU" w:eastAsia="ro-MD"/>
        </w:rPr>
        <w:t>Внутренняя модель оценки рисков банка должна включать достаточное количество факторов риска, чтобы отразить все существенные ценовые риски.</w:t>
      </w:r>
    </w:p>
    <w:p w14:paraId="25E9A27B" w14:textId="10D7C824" w:rsidR="00064BD9" w:rsidRPr="007D7B7B" w:rsidRDefault="00064BD9" w:rsidP="00064BD9">
      <w:pPr>
        <w:shd w:val="clear" w:color="auto" w:fill="FFFFFF"/>
        <w:spacing w:line="312" w:lineRule="atLeast"/>
        <w:jc w:val="both"/>
        <w:rPr>
          <w:color w:val="000000" w:themeColor="text1"/>
          <w:sz w:val="22"/>
          <w:szCs w:val="22"/>
          <w:lang w:val="ru-RU" w:eastAsia="ro-MD"/>
        </w:rPr>
      </w:pPr>
      <w:r w:rsidRPr="007D7B7B">
        <w:rPr>
          <w:b/>
          <w:bCs/>
          <w:color w:val="000000" w:themeColor="text1"/>
          <w:sz w:val="22"/>
          <w:szCs w:val="22"/>
          <w:lang w:val="ru-RU" w:eastAsia="ro-MD"/>
        </w:rPr>
        <w:t>72</w:t>
      </w:r>
      <w:r w:rsidRPr="007D7B7B">
        <w:rPr>
          <w:b/>
          <w:bCs/>
          <w:color w:val="000000" w:themeColor="text1"/>
          <w:sz w:val="22"/>
          <w:szCs w:val="22"/>
          <w:vertAlign w:val="superscript"/>
          <w:lang w:val="ru-RU" w:eastAsia="ro-MD"/>
        </w:rPr>
        <w:t>6</w:t>
      </w:r>
      <w:r w:rsidRPr="007D7B7B">
        <w:rPr>
          <w:b/>
          <w:bCs/>
          <w:color w:val="000000" w:themeColor="text1"/>
          <w:sz w:val="22"/>
          <w:szCs w:val="22"/>
          <w:lang w:val="ru-RU" w:eastAsia="ro-MD"/>
        </w:rPr>
        <w:t>.</w:t>
      </w:r>
      <w:r w:rsidRPr="007D7B7B">
        <w:rPr>
          <w:color w:val="000000" w:themeColor="text1"/>
          <w:sz w:val="22"/>
          <w:szCs w:val="22"/>
          <w:lang w:val="ru-RU" w:eastAsia="ro-MD"/>
        </w:rPr>
        <w:t xml:space="preserve"> </w:t>
      </w:r>
      <w:r w:rsidR="001F76E1" w:rsidRPr="007D7B7B">
        <w:rPr>
          <w:color w:val="000000" w:themeColor="text1"/>
          <w:sz w:val="22"/>
          <w:szCs w:val="22"/>
          <w:lang w:val="ru-RU" w:eastAsia="ro-MD"/>
        </w:rPr>
        <w:t>Банк может использовать эмпирические корреляции внутри и между категориями рисков при условии, что его система измерения корреляций является надежной и правильно применяется</w:t>
      </w:r>
      <w:r w:rsidRPr="007D7B7B">
        <w:rPr>
          <w:color w:val="000000" w:themeColor="text1"/>
          <w:sz w:val="22"/>
          <w:szCs w:val="22"/>
          <w:lang w:val="ru-RU" w:eastAsia="ro-MD"/>
        </w:rPr>
        <w:t>.</w:t>
      </w:r>
    </w:p>
    <w:p w14:paraId="0F0B12CA" w14:textId="7491F085" w:rsidR="00064BD9" w:rsidRPr="007D7B7B" w:rsidRDefault="00064BD9" w:rsidP="00064BD9">
      <w:pPr>
        <w:shd w:val="clear" w:color="auto" w:fill="FFFFFF"/>
        <w:jc w:val="both"/>
        <w:rPr>
          <w:color w:val="000000" w:themeColor="text1"/>
          <w:sz w:val="22"/>
          <w:szCs w:val="22"/>
          <w:lang w:val="ru-RU" w:eastAsia="ro-MD"/>
        </w:rPr>
      </w:pPr>
      <w:r w:rsidRPr="007D7B7B">
        <w:rPr>
          <w:b/>
          <w:bCs/>
          <w:color w:val="000000" w:themeColor="text1"/>
          <w:sz w:val="22"/>
          <w:szCs w:val="22"/>
          <w:lang w:val="ru-RU" w:eastAsia="ro-MD"/>
        </w:rPr>
        <w:t>72</w:t>
      </w:r>
      <w:r w:rsidRPr="007D7B7B">
        <w:rPr>
          <w:b/>
          <w:bCs/>
          <w:color w:val="000000" w:themeColor="text1"/>
          <w:sz w:val="22"/>
          <w:szCs w:val="22"/>
          <w:vertAlign w:val="superscript"/>
          <w:lang w:val="ru-RU" w:eastAsia="ro-MD"/>
        </w:rPr>
        <w:t>7</w:t>
      </w:r>
      <w:r w:rsidRPr="007D7B7B">
        <w:rPr>
          <w:b/>
          <w:bCs/>
          <w:color w:val="000000" w:themeColor="text1"/>
          <w:sz w:val="22"/>
          <w:szCs w:val="22"/>
          <w:lang w:val="ru-RU" w:eastAsia="ro-MD"/>
        </w:rPr>
        <w:t>.</w:t>
      </w:r>
      <w:r w:rsidRPr="007D7B7B">
        <w:rPr>
          <w:color w:val="000000" w:themeColor="text1"/>
          <w:sz w:val="22"/>
          <w:szCs w:val="22"/>
          <w:lang w:val="ru-RU" w:eastAsia="ro-MD"/>
        </w:rPr>
        <w:t xml:space="preserve"> </w:t>
      </w:r>
      <w:r w:rsidR="007D7B7B" w:rsidRPr="007D7B7B">
        <w:rPr>
          <w:color w:val="000000" w:themeColor="text1"/>
          <w:sz w:val="22"/>
          <w:szCs w:val="22"/>
          <w:lang w:val="ru-RU" w:eastAsia="ro-MD"/>
        </w:rPr>
        <w:t>Банки, использующие подход внутренних моделей, должны рассчитывать E* по следующей формуле</w:t>
      </w:r>
      <w:r w:rsidRPr="007D7B7B">
        <w:rPr>
          <w:color w:val="000000" w:themeColor="text1"/>
          <w:sz w:val="22"/>
          <w:szCs w:val="22"/>
          <w:lang w:val="ru-RU" w:eastAsia="ro-MD"/>
        </w:rPr>
        <w:t>:</w:t>
      </w:r>
    </w:p>
    <w:p w14:paraId="36DC9B83" w14:textId="77777777" w:rsidR="00064BD9" w:rsidRPr="007D7B7B" w:rsidRDefault="00000000" w:rsidP="00064BD9">
      <w:pPr>
        <w:shd w:val="clear" w:color="auto" w:fill="FFFFFF"/>
        <w:spacing w:before="120" w:line="312" w:lineRule="atLeast"/>
        <w:jc w:val="both"/>
        <w:rPr>
          <w:i/>
          <w:color w:val="000000" w:themeColor="text1"/>
          <w:sz w:val="22"/>
          <w:szCs w:val="22"/>
          <w:lang w:val="ru-RU" w:eastAsia="ro-MD"/>
        </w:rPr>
      </w:pPr>
      <m:oMathPara>
        <m:oMath>
          <m:sSup>
            <m:sSupPr>
              <m:ctrlPr>
                <w:rPr>
                  <w:rFonts w:ascii="Cambria Math" w:hAnsi="Cambria Math"/>
                  <w:b/>
                  <w:bCs/>
                  <w:i/>
                  <w:color w:val="000000" w:themeColor="text1"/>
                  <w:sz w:val="22"/>
                  <w:szCs w:val="22"/>
                  <w:lang w:val="ru-RU" w:eastAsia="ro-MD"/>
                </w:rPr>
              </m:ctrlPr>
            </m:sSupPr>
            <m:e>
              <m:r>
                <m:rPr>
                  <m:sty m:val="bi"/>
                </m:rPr>
                <w:rPr>
                  <w:rFonts w:ascii="Cambria Math" w:hAnsi="Cambria Math"/>
                  <w:color w:val="000000" w:themeColor="text1"/>
                  <w:sz w:val="22"/>
                  <w:szCs w:val="22"/>
                  <w:lang w:val="ru-RU" w:eastAsia="ro-MD"/>
                </w:rPr>
                <m:t>E</m:t>
              </m:r>
            </m:e>
            <m:sup>
              <m:r>
                <m:rPr>
                  <m:sty m:val="bi"/>
                </m:rPr>
                <w:rPr>
                  <w:rFonts w:ascii="Cambria Math" w:hAnsi="Cambria Math"/>
                  <w:color w:val="000000" w:themeColor="text1"/>
                  <w:sz w:val="22"/>
                  <w:szCs w:val="22"/>
                  <w:lang w:val="ru-RU" w:eastAsia="ro-MD"/>
                </w:rPr>
                <m:t>*</m:t>
              </m:r>
            </m:sup>
          </m:sSup>
          <m:r>
            <w:rPr>
              <w:rFonts w:ascii="Cambria Math" w:hAnsi="Cambria Math"/>
              <w:color w:val="000000" w:themeColor="text1"/>
              <w:sz w:val="22"/>
              <w:szCs w:val="22"/>
              <w:lang w:val="ru-RU" w:eastAsia="ro-MD"/>
            </w:rPr>
            <m:t xml:space="preserve"> = max </m:t>
          </m:r>
          <m:d>
            <m:dPr>
              <m:begChr m:val="{"/>
              <m:endChr m:val="}"/>
              <m:ctrlPr>
                <w:rPr>
                  <w:rFonts w:ascii="Cambria Math" w:hAnsi="Cambria Math"/>
                  <w:i/>
                  <w:color w:val="000000" w:themeColor="text1"/>
                  <w:sz w:val="22"/>
                  <w:szCs w:val="22"/>
                  <w:lang w:val="ru-RU" w:eastAsia="ro-MD"/>
                </w:rPr>
              </m:ctrlPr>
            </m:dPr>
            <m:e>
              <m:r>
                <w:rPr>
                  <w:rFonts w:ascii="Cambria Math" w:hAnsi="Cambria Math"/>
                  <w:color w:val="000000" w:themeColor="text1"/>
                  <w:sz w:val="22"/>
                  <w:szCs w:val="22"/>
                  <w:lang w:val="ru-RU" w:eastAsia="ro-MD"/>
                </w:rPr>
                <m:t>0,</m:t>
              </m:r>
              <m:d>
                <m:dPr>
                  <m:ctrlPr>
                    <w:rPr>
                      <w:rFonts w:ascii="Cambria Math" w:hAnsi="Cambria Math"/>
                      <w:i/>
                      <w:color w:val="000000" w:themeColor="text1"/>
                      <w:sz w:val="22"/>
                      <w:szCs w:val="22"/>
                      <w:lang w:val="ru-RU" w:eastAsia="ro-MD"/>
                    </w:rPr>
                  </m:ctrlPr>
                </m:dPr>
                <m:e>
                  <m:nary>
                    <m:naryPr>
                      <m:chr m:val="∑"/>
                      <m:limLoc m:val="undOvr"/>
                      <m:supHide m:val="1"/>
                      <m:ctrlPr>
                        <w:rPr>
                          <w:rFonts w:ascii="Cambria Math" w:hAnsi="Cambria Math"/>
                          <w:i/>
                          <w:color w:val="000000" w:themeColor="text1"/>
                          <w:sz w:val="22"/>
                          <w:szCs w:val="22"/>
                          <w:lang w:val="ru-RU" w:eastAsia="ro-MD"/>
                        </w:rPr>
                      </m:ctrlPr>
                    </m:naryPr>
                    <m:sub>
                      <m:r>
                        <w:rPr>
                          <w:rFonts w:ascii="Cambria Math" w:hAnsi="Cambria Math"/>
                          <w:color w:val="000000" w:themeColor="text1"/>
                          <w:sz w:val="22"/>
                          <w:szCs w:val="22"/>
                          <w:lang w:val="ru-RU" w:eastAsia="ro-MD"/>
                        </w:rPr>
                        <m:t>i</m:t>
                      </m:r>
                    </m:sub>
                    <m:sup/>
                    <m:e>
                      <m:sSub>
                        <m:sSubPr>
                          <m:ctrlPr>
                            <w:rPr>
                              <w:rFonts w:ascii="Cambria Math" w:hAnsi="Cambria Math"/>
                              <w:i/>
                              <w:color w:val="000000" w:themeColor="text1"/>
                              <w:sz w:val="22"/>
                              <w:szCs w:val="22"/>
                              <w:lang w:val="ru-RU" w:eastAsia="ro-MD"/>
                            </w:rPr>
                          </m:ctrlPr>
                        </m:sSubPr>
                        <m:e>
                          <m:r>
                            <w:rPr>
                              <w:rFonts w:ascii="Cambria Math" w:hAnsi="Cambria Math"/>
                              <w:color w:val="000000" w:themeColor="text1"/>
                              <w:sz w:val="22"/>
                              <w:szCs w:val="22"/>
                              <w:lang w:val="ru-RU" w:eastAsia="ro-MD"/>
                            </w:rPr>
                            <m:t>E</m:t>
                          </m:r>
                        </m:e>
                        <m:sub>
                          <m:r>
                            <w:rPr>
                              <w:rFonts w:ascii="Cambria Math" w:hAnsi="Cambria Math"/>
                              <w:color w:val="000000" w:themeColor="text1"/>
                              <w:sz w:val="22"/>
                              <w:szCs w:val="22"/>
                              <w:lang w:val="ru-RU" w:eastAsia="ro-MD"/>
                            </w:rPr>
                            <m:t>i</m:t>
                          </m:r>
                        </m:sub>
                      </m:sSub>
                    </m:e>
                  </m:nary>
                  <m:r>
                    <w:rPr>
                      <w:rFonts w:ascii="Cambria Math" w:hAnsi="Cambria Math"/>
                      <w:color w:val="000000" w:themeColor="text1"/>
                      <w:sz w:val="22"/>
                      <w:szCs w:val="22"/>
                      <w:lang w:val="ru-RU" w:eastAsia="ro-MD"/>
                    </w:rPr>
                    <m:t>-</m:t>
                  </m:r>
                  <m:nary>
                    <m:naryPr>
                      <m:chr m:val="∑"/>
                      <m:limLoc m:val="undOvr"/>
                      <m:supHide m:val="1"/>
                      <m:ctrlPr>
                        <w:rPr>
                          <w:rFonts w:ascii="Cambria Math" w:hAnsi="Cambria Math"/>
                          <w:i/>
                          <w:color w:val="000000" w:themeColor="text1"/>
                          <w:sz w:val="22"/>
                          <w:szCs w:val="22"/>
                          <w:lang w:val="ru-RU" w:eastAsia="ro-MD"/>
                        </w:rPr>
                      </m:ctrlPr>
                    </m:naryPr>
                    <m:sub>
                      <m:r>
                        <w:rPr>
                          <w:rFonts w:ascii="Cambria Math" w:hAnsi="Cambria Math"/>
                          <w:color w:val="000000" w:themeColor="text1"/>
                          <w:sz w:val="22"/>
                          <w:szCs w:val="22"/>
                          <w:lang w:val="ru-RU" w:eastAsia="ro-MD"/>
                        </w:rPr>
                        <m:t>i</m:t>
                      </m:r>
                    </m:sub>
                    <m:sup/>
                    <m:e>
                      <m:sSub>
                        <m:sSubPr>
                          <m:ctrlPr>
                            <w:rPr>
                              <w:rFonts w:ascii="Cambria Math" w:hAnsi="Cambria Math"/>
                              <w:i/>
                              <w:color w:val="000000" w:themeColor="text1"/>
                              <w:sz w:val="22"/>
                              <w:szCs w:val="22"/>
                              <w:lang w:val="ru-RU" w:eastAsia="ro-MD"/>
                            </w:rPr>
                          </m:ctrlPr>
                        </m:sSubPr>
                        <m:e>
                          <m:r>
                            <w:rPr>
                              <w:rFonts w:ascii="Cambria Math" w:hAnsi="Cambria Math"/>
                              <w:color w:val="000000" w:themeColor="text1"/>
                              <w:sz w:val="22"/>
                              <w:szCs w:val="22"/>
                              <w:lang w:val="ru-RU" w:eastAsia="ro-MD"/>
                            </w:rPr>
                            <m:t>C</m:t>
                          </m:r>
                        </m:e>
                        <m:sub>
                          <m:r>
                            <w:rPr>
                              <w:rFonts w:ascii="Cambria Math" w:hAnsi="Cambria Math"/>
                              <w:color w:val="000000" w:themeColor="text1"/>
                              <w:sz w:val="22"/>
                              <w:szCs w:val="22"/>
                              <w:lang w:val="ru-RU" w:eastAsia="ro-MD"/>
                            </w:rPr>
                            <m:t>i</m:t>
                          </m:r>
                        </m:sub>
                      </m:sSub>
                    </m:e>
                  </m:nary>
                </m:e>
              </m:d>
              <m:r>
                <w:rPr>
                  <w:rFonts w:ascii="Cambria Math" w:hAnsi="Cambria Math"/>
                  <w:color w:val="000000" w:themeColor="text1"/>
                  <w:sz w:val="22"/>
                  <w:szCs w:val="22"/>
                  <w:lang w:val="ru-RU" w:eastAsia="ro-MD"/>
                </w:rPr>
                <m:t>+ variația potențială a valorii</m:t>
              </m:r>
            </m:e>
          </m:d>
          <m:r>
            <w:rPr>
              <w:rFonts w:ascii="Cambria Math" w:hAnsi="Cambria Math"/>
              <w:color w:val="000000" w:themeColor="text1"/>
              <w:sz w:val="22"/>
              <w:szCs w:val="22"/>
              <w:lang w:val="ru-RU" w:eastAsia="ro-MD"/>
            </w:rPr>
            <m:t xml:space="preserve"> </m:t>
          </m:r>
        </m:oMath>
      </m:oMathPara>
    </w:p>
    <w:p w14:paraId="4846B90C" w14:textId="164AB5AA" w:rsidR="00064BD9" w:rsidRPr="00884D1F" w:rsidRDefault="007D7B7B" w:rsidP="00064BD9">
      <w:pPr>
        <w:shd w:val="clear" w:color="auto" w:fill="FFFFFF"/>
        <w:spacing w:before="120" w:line="312" w:lineRule="atLeast"/>
        <w:jc w:val="both"/>
        <w:rPr>
          <w:color w:val="000000" w:themeColor="text1"/>
          <w:sz w:val="22"/>
          <w:szCs w:val="22"/>
          <w:lang w:val="ro-RO" w:eastAsia="ro-MD"/>
        </w:rPr>
      </w:pPr>
      <w:r>
        <w:rPr>
          <w:color w:val="000000" w:themeColor="text1"/>
          <w:sz w:val="22"/>
          <w:szCs w:val="22"/>
          <w:lang w:val="ru-RU" w:eastAsia="ro-MD"/>
        </w:rPr>
        <w:t>где</w:t>
      </w:r>
      <w:r w:rsidR="00064BD9" w:rsidRPr="00884D1F">
        <w:rPr>
          <w:color w:val="000000" w:themeColor="text1"/>
          <w:sz w:val="22"/>
          <w:szCs w:val="22"/>
          <w:lang w:val="ro-RO" w:eastAsia="ro-MD"/>
        </w:rPr>
        <w:t>:</w:t>
      </w:r>
    </w:p>
    <w:tbl>
      <w:tblPr>
        <w:tblW w:w="5000" w:type="pct"/>
        <w:tblCellMar>
          <w:left w:w="0" w:type="dxa"/>
          <w:right w:w="0" w:type="dxa"/>
        </w:tblCellMar>
        <w:tblLook w:val="04A0" w:firstRow="1" w:lastRow="0" w:firstColumn="1" w:lastColumn="0" w:noHBand="0" w:noVBand="1"/>
      </w:tblPr>
      <w:tblGrid>
        <w:gridCol w:w="174"/>
        <w:gridCol w:w="6"/>
        <w:gridCol w:w="9509"/>
      </w:tblGrid>
      <w:tr w:rsidR="00064BD9" w:rsidRPr="007544BA" w14:paraId="708EA6E5" w14:textId="77777777" w:rsidTr="003425C4">
        <w:tc>
          <w:tcPr>
            <w:tcW w:w="0" w:type="auto"/>
            <w:hideMark/>
          </w:tcPr>
          <w:p w14:paraId="5C35CDA3" w14:textId="77777777" w:rsidR="00064BD9" w:rsidRPr="00374AE4" w:rsidRDefault="00064BD9" w:rsidP="003425C4">
            <w:pPr>
              <w:spacing w:before="120" w:line="312" w:lineRule="atLeast"/>
              <w:jc w:val="both"/>
              <w:rPr>
                <w:color w:val="000000" w:themeColor="text1"/>
                <w:sz w:val="22"/>
                <w:szCs w:val="22"/>
                <w:lang w:val="ru-RU" w:eastAsia="ro-MD"/>
              </w:rPr>
            </w:pPr>
            <w:proofErr w:type="spellStart"/>
            <w:r w:rsidRPr="00374AE4">
              <w:rPr>
                <w:color w:val="000000" w:themeColor="text1"/>
                <w:sz w:val="22"/>
                <w:szCs w:val="22"/>
                <w:lang w:val="ru-RU" w:eastAsia="ro-MD"/>
              </w:rPr>
              <w:t>E</w:t>
            </w:r>
            <w:r w:rsidRPr="00374AE4">
              <w:rPr>
                <w:color w:val="000000" w:themeColor="text1"/>
                <w:sz w:val="22"/>
                <w:szCs w:val="22"/>
                <w:vertAlign w:val="subscript"/>
                <w:lang w:val="ru-RU" w:eastAsia="ro-MD"/>
              </w:rPr>
              <w:t>i</w:t>
            </w:r>
            <w:proofErr w:type="spellEnd"/>
          </w:p>
        </w:tc>
        <w:tc>
          <w:tcPr>
            <w:tcW w:w="0" w:type="auto"/>
            <w:hideMark/>
          </w:tcPr>
          <w:p w14:paraId="171EBC9C" w14:textId="77777777" w:rsidR="00064BD9" w:rsidRPr="00374AE4" w:rsidRDefault="00064BD9" w:rsidP="003425C4">
            <w:pPr>
              <w:spacing w:before="120" w:line="312" w:lineRule="atLeast"/>
              <w:jc w:val="both"/>
              <w:rPr>
                <w:color w:val="000000" w:themeColor="text1"/>
                <w:sz w:val="22"/>
                <w:szCs w:val="22"/>
                <w:lang w:val="ru-RU" w:eastAsia="ro-MD"/>
              </w:rPr>
            </w:pPr>
            <w:r w:rsidRPr="00374AE4">
              <w:rPr>
                <w:color w:val="000000" w:themeColor="text1"/>
                <w:sz w:val="22"/>
                <w:szCs w:val="22"/>
                <w:lang w:val="ru-RU" w:eastAsia="ro-MD"/>
              </w:rPr>
              <w:t xml:space="preserve"> </w:t>
            </w:r>
          </w:p>
        </w:tc>
        <w:tc>
          <w:tcPr>
            <w:tcW w:w="0" w:type="auto"/>
            <w:hideMark/>
          </w:tcPr>
          <w:p w14:paraId="113670B6" w14:textId="52516036" w:rsidR="00064BD9" w:rsidRPr="00374AE4" w:rsidRDefault="00064BD9" w:rsidP="00374AE4">
            <w:pPr>
              <w:spacing w:before="120" w:line="312" w:lineRule="atLeast"/>
              <w:jc w:val="both"/>
              <w:rPr>
                <w:color w:val="000000" w:themeColor="text1"/>
                <w:sz w:val="22"/>
                <w:szCs w:val="22"/>
                <w:lang w:val="ru-RU" w:eastAsia="ro-MD"/>
              </w:rPr>
            </w:pPr>
            <w:r w:rsidRPr="00374AE4">
              <w:rPr>
                <w:color w:val="000000" w:themeColor="text1"/>
                <w:sz w:val="22"/>
                <w:szCs w:val="22"/>
                <w:lang w:val="ru-RU" w:eastAsia="ro-MD"/>
              </w:rPr>
              <w:t xml:space="preserve">  = </w:t>
            </w:r>
            <w:r w:rsidR="00374AE4" w:rsidRPr="00374AE4">
              <w:rPr>
                <w:color w:val="000000" w:themeColor="text1"/>
                <w:sz w:val="22"/>
                <w:szCs w:val="22"/>
                <w:lang w:val="ru-RU" w:eastAsia="ro-MD"/>
              </w:rPr>
              <w:t>значение подверженности для каждой отдельной подверженности i в рамках соглашения, которое применялось бы в отсутствие кредитной защиты, когда банки рассчитывают взвешенные по риску суммы подверженностей в соответствии со стандартизированным подходом или когда они рассчитывают взвешенные по риску суммы подверженностей и ожидаемые суммы убытков в соответствии с подходом IRB</w:t>
            </w:r>
            <w:r w:rsidRPr="00374AE4">
              <w:rPr>
                <w:color w:val="000000" w:themeColor="text1"/>
                <w:sz w:val="22"/>
                <w:szCs w:val="22"/>
                <w:lang w:val="ru-RU" w:eastAsia="ro-MD"/>
              </w:rPr>
              <w:t>;</w:t>
            </w:r>
          </w:p>
        </w:tc>
      </w:tr>
    </w:tbl>
    <w:p w14:paraId="2BA5828C" w14:textId="77777777" w:rsidR="00064BD9" w:rsidRPr="00884D1F" w:rsidRDefault="00064BD9" w:rsidP="00064BD9">
      <w:pPr>
        <w:shd w:val="clear" w:color="auto" w:fill="FFFFFF"/>
        <w:jc w:val="both"/>
        <w:rPr>
          <w:vanish/>
          <w:color w:val="000000" w:themeColor="text1"/>
          <w:sz w:val="22"/>
          <w:szCs w:val="22"/>
          <w:lang w:val="ro-RO" w:eastAsia="ro-MD"/>
        </w:rPr>
      </w:pPr>
    </w:p>
    <w:tbl>
      <w:tblPr>
        <w:tblW w:w="5000" w:type="pct"/>
        <w:tblCellMar>
          <w:left w:w="0" w:type="dxa"/>
          <w:right w:w="0" w:type="dxa"/>
        </w:tblCellMar>
        <w:tblLook w:val="04A0" w:firstRow="1" w:lastRow="0" w:firstColumn="1" w:lastColumn="0" w:noHBand="0" w:noVBand="1"/>
      </w:tblPr>
      <w:tblGrid>
        <w:gridCol w:w="186"/>
        <w:gridCol w:w="6"/>
        <w:gridCol w:w="9497"/>
      </w:tblGrid>
      <w:tr w:rsidR="000B2CBE" w:rsidRPr="007544BA" w14:paraId="0B81CE93" w14:textId="77777777" w:rsidTr="003425C4">
        <w:tc>
          <w:tcPr>
            <w:tcW w:w="0" w:type="auto"/>
            <w:hideMark/>
          </w:tcPr>
          <w:p w14:paraId="078E094F" w14:textId="77777777" w:rsidR="00064BD9" w:rsidRPr="00B741A1" w:rsidRDefault="00064BD9" w:rsidP="003425C4">
            <w:pPr>
              <w:spacing w:before="120" w:line="312" w:lineRule="atLeast"/>
              <w:jc w:val="both"/>
              <w:rPr>
                <w:color w:val="000000" w:themeColor="text1"/>
                <w:sz w:val="22"/>
                <w:szCs w:val="22"/>
                <w:lang w:val="ru-RU" w:eastAsia="ro-MD"/>
              </w:rPr>
            </w:pPr>
            <w:proofErr w:type="spellStart"/>
            <w:r w:rsidRPr="00B741A1">
              <w:rPr>
                <w:color w:val="000000" w:themeColor="text1"/>
                <w:sz w:val="22"/>
                <w:szCs w:val="22"/>
                <w:lang w:val="ru-RU" w:eastAsia="ro-MD"/>
              </w:rPr>
              <w:t>C</w:t>
            </w:r>
            <w:r w:rsidRPr="00B741A1">
              <w:rPr>
                <w:color w:val="000000" w:themeColor="text1"/>
                <w:sz w:val="22"/>
                <w:szCs w:val="22"/>
                <w:vertAlign w:val="subscript"/>
                <w:lang w:val="ru-RU" w:eastAsia="ro-MD"/>
              </w:rPr>
              <w:t>i</w:t>
            </w:r>
            <w:proofErr w:type="spellEnd"/>
          </w:p>
        </w:tc>
        <w:tc>
          <w:tcPr>
            <w:tcW w:w="0" w:type="auto"/>
            <w:hideMark/>
          </w:tcPr>
          <w:p w14:paraId="6F07C402" w14:textId="77777777" w:rsidR="00064BD9" w:rsidRPr="00B741A1" w:rsidRDefault="00064BD9" w:rsidP="003425C4">
            <w:pPr>
              <w:spacing w:before="120" w:line="312" w:lineRule="atLeast"/>
              <w:jc w:val="both"/>
              <w:rPr>
                <w:color w:val="000000" w:themeColor="text1"/>
                <w:sz w:val="22"/>
                <w:szCs w:val="22"/>
                <w:lang w:val="ru-RU" w:eastAsia="ro-MD"/>
              </w:rPr>
            </w:pPr>
            <w:r w:rsidRPr="00B741A1">
              <w:rPr>
                <w:color w:val="000000" w:themeColor="text1"/>
                <w:sz w:val="22"/>
                <w:szCs w:val="22"/>
                <w:lang w:val="ru-RU" w:eastAsia="ro-MD"/>
              </w:rPr>
              <w:t xml:space="preserve"> </w:t>
            </w:r>
          </w:p>
        </w:tc>
        <w:tc>
          <w:tcPr>
            <w:tcW w:w="0" w:type="auto"/>
            <w:hideMark/>
          </w:tcPr>
          <w:p w14:paraId="17F7764B" w14:textId="4E0D9003" w:rsidR="00064BD9" w:rsidRPr="00B741A1" w:rsidRDefault="00064BD9" w:rsidP="003425C4">
            <w:pPr>
              <w:spacing w:before="120" w:line="312" w:lineRule="atLeast"/>
              <w:jc w:val="both"/>
              <w:rPr>
                <w:color w:val="000000" w:themeColor="text1"/>
                <w:sz w:val="22"/>
                <w:szCs w:val="22"/>
                <w:lang w:val="ru-RU" w:eastAsia="ro-MD"/>
              </w:rPr>
            </w:pPr>
            <w:r w:rsidRPr="00B741A1">
              <w:rPr>
                <w:color w:val="000000" w:themeColor="text1"/>
                <w:sz w:val="22"/>
                <w:szCs w:val="22"/>
                <w:lang w:val="ru-RU" w:eastAsia="ro-MD"/>
              </w:rPr>
              <w:t xml:space="preserve"> = </w:t>
            </w:r>
            <w:r w:rsidR="005155FA" w:rsidRPr="00B741A1">
              <w:rPr>
                <w:color w:val="000000" w:themeColor="text1"/>
                <w:sz w:val="22"/>
                <w:szCs w:val="22"/>
                <w:lang w:val="ru-RU" w:eastAsia="ro-MD"/>
              </w:rPr>
              <w:t xml:space="preserve">стоимость заемных, приобретенных или полученных ценных бумаг, а также денежных средств, заемных или полученных по каждой такой подверженности </w:t>
            </w:r>
            <w:r w:rsidRPr="00B741A1">
              <w:rPr>
                <w:color w:val="000000" w:themeColor="text1"/>
                <w:sz w:val="22"/>
                <w:szCs w:val="22"/>
                <w:lang w:val="ru-RU" w:eastAsia="ro-MD"/>
              </w:rPr>
              <w:t>i.</w:t>
            </w:r>
          </w:p>
        </w:tc>
      </w:tr>
    </w:tbl>
    <w:p w14:paraId="0DDEA124" w14:textId="0FB3D38E" w:rsidR="00064BD9" w:rsidRPr="00B741A1" w:rsidRDefault="00064BD9" w:rsidP="00064BD9">
      <w:pPr>
        <w:shd w:val="clear" w:color="auto" w:fill="FFFFFF"/>
        <w:spacing w:line="312" w:lineRule="atLeast"/>
        <w:jc w:val="both"/>
        <w:rPr>
          <w:color w:val="000000" w:themeColor="text1"/>
          <w:sz w:val="22"/>
          <w:szCs w:val="22"/>
          <w:lang w:val="ru-RU" w:eastAsia="ro-MD"/>
        </w:rPr>
      </w:pPr>
      <w:r w:rsidRPr="00B741A1">
        <w:rPr>
          <w:b/>
          <w:bCs/>
          <w:color w:val="000000" w:themeColor="text1"/>
          <w:sz w:val="22"/>
          <w:szCs w:val="22"/>
          <w:lang w:val="ru-RU" w:eastAsia="ro-MD"/>
        </w:rPr>
        <w:lastRenderedPageBreak/>
        <w:t>72</w:t>
      </w:r>
      <w:r w:rsidRPr="00B741A1">
        <w:rPr>
          <w:b/>
          <w:bCs/>
          <w:color w:val="000000" w:themeColor="text1"/>
          <w:sz w:val="22"/>
          <w:szCs w:val="22"/>
          <w:vertAlign w:val="superscript"/>
          <w:lang w:val="ru-RU" w:eastAsia="ro-MD"/>
        </w:rPr>
        <w:t>8</w:t>
      </w:r>
      <w:r w:rsidRPr="00B741A1">
        <w:rPr>
          <w:b/>
          <w:bCs/>
          <w:color w:val="000000" w:themeColor="text1"/>
          <w:sz w:val="22"/>
          <w:szCs w:val="22"/>
          <w:lang w:val="ru-RU" w:eastAsia="ro-MD"/>
        </w:rPr>
        <w:t xml:space="preserve">. </w:t>
      </w:r>
      <w:r w:rsidR="005155FA" w:rsidRPr="00B741A1">
        <w:rPr>
          <w:color w:val="000000" w:themeColor="text1"/>
          <w:sz w:val="22"/>
          <w:szCs w:val="22"/>
          <w:lang w:val="ru-RU" w:eastAsia="ro-MD"/>
        </w:rPr>
        <w:t>При расчете взвешенных по риску сумм подверженностей на основе внутренних моделей банки должны использовать результаты работы модели за предыдущий рабочий день</w:t>
      </w:r>
      <w:r w:rsidRPr="00B741A1">
        <w:rPr>
          <w:color w:val="000000" w:themeColor="text1"/>
          <w:sz w:val="22"/>
          <w:szCs w:val="22"/>
          <w:lang w:val="ru-RU" w:eastAsia="ro-MD"/>
        </w:rPr>
        <w:t>.</w:t>
      </w:r>
    </w:p>
    <w:p w14:paraId="30D89D59" w14:textId="6F7D7CAC" w:rsidR="00064BD9" w:rsidRPr="00B741A1" w:rsidRDefault="00064BD9" w:rsidP="00064BD9">
      <w:pPr>
        <w:shd w:val="clear" w:color="auto" w:fill="FFFFFF"/>
        <w:jc w:val="both"/>
        <w:rPr>
          <w:color w:val="000000" w:themeColor="text1"/>
          <w:sz w:val="22"/>
          <w:szCs w:val="22"/>
          <w:lang w:val="ru-RU" w:eastAsia="ro-MD"/>
        </w:rPr>
      </w:pPr>
      <w:r w:rsidRPr="00B741A1">
        <w:rPr>
          <w:b/>
          <w:bCs/>
          <w:color w:val="000000" w:themeColor="text1"/>
          <w:sz w:val="22"/>
          <w:szCs w:val="22"/>
          <w:lang w:val="ru-RU" w:eastAsia="ro-MD"/>
        </w:rPr>
        <w:t>72</w:t>
      </w:r>
      <w:r w:rsidRPr="00B741A1">
        <w:rPr>
          <w:b/>
          <w:bCs/>
          <w:color w:val="000000" w:themeColor="text1"/>
          <w:sz w:val="22"/>
          <w:szCs w:val="22"/>
          <w:vertAlign w:val="superscript"/>
          <w:lang w:val="ru-RU" w:eastAsia="ro-MD"/>
        </w:rPr>
        <w:t>9</w:t>
      </w:r>
      <w:r w:rsidRPr="00B741A1">
        <w:rPr>
          <w:b/>
          <w:bCs/>
          <w:color w:val="000000" w:themeColor="text1"/>
          <w:sz w:val="22"/>
          <w:szCs w:val="22"/>
          <w:lang w:val="ru-RU" w:eastAsia="ro-MD"/>
        </w:rPr>
        <w:t xml:space="preserve">. </w:t>
      </w:r>
      <w:r w:rsidR="009678FF" w:rsidRPr="00B741A1">
        <w:rPr>
          <w:color w:val="000000" w:themeColor="text1"/>
          <w:sz w:val="22"/>
          <w:szCs w:val="22"/>
          <w:lang w:val="ru-RU" w:eastAsia="ro-MD"/>
        </w:rPr>
        <w:t>Расчет потенциального изменения стоимости, указанный в пункте 72</w:t>
      </w:r>
      <w:r w:rsidR="009678FF" w:rsidRPr="00B741A1">
        <w:rPr>
          <w:color w:val="000000" w:themeColor="text1"/>
          <w:sz w:val="22"/>
          <w:szCs w:val="22"/>
          <w:vertAlign w:val="superscript"/>
          <w:lang w:val="ru-RU" w:eastAsia="ro-MD"/>
        </w:rPr>
        <w:t>7</w:t>
      </w:r>
      <w:r w:rsidR="009678FF" w:rsidRPr="00B741A1">
        <w:rPr>
          <w:color w:val="000000" w:themeColor="text1"/>
          <w:sz w:val="22"/>
          <w:szCs w:val="22"/>
          <w:lang w:val="ru-RU" w:eastAsia="ro-MD"/>
        </w:rPr>
        <w:t>, должен соответствовать всем следующим требованиям</w:t>
      </w:r>
      <w:r w:rsidRPr="00B741A1">
        <w:rPr>
          <w:color w:val="000000" w:themeColor="text1"/>
          <w:sz w:val="22"/>
          <w:szCs w:val="22"/>
          <w:lang w:val="ru-RU" w:eastAsia="ro-MD"/>
        </w:rPr>
        <w:t>:</w:t>
      </w:r>
    </w:p>
    <w:p w14:paraId="01192CD0" w14:textId="5ECB8722" w:rsidR="00064BD9" w:rsidRPr="00B741A1" w:rsidRDefault="00064BD9" w:rsidP="00064BD9">
      <w:pPr>
        <w:shd w:val="clear" w:color="auto" w:fill="FFFFFF"/>
        <w:ind w:firstLine="567"/>
        <w:jc w:val="both"/>
        <w:rPr>
          <w:color w:val="000000" w:themeColor="text1"/>
          <w:sz w:val="22"/>
          <w:szCs w:val="22"/>
          <w:lang w:val="ru-RU" w:eastAsia="ro-MD"/>
        </w:rPr>
      </w:pPr>
      <w:r w:rsidRPr="00B741A1">
        <w:rPr>
          <w:color w:val="000000" w:themeColor="text1"/>
          <w:sz w:val="22"/>
          <w:szCs w:val="22"/>
          <w:lang w:val="ru-RU" w:eastAsia="ro-MD"/>
        </w:rPr>
        <w:t>1) </w:t>
      </w:r>
      <w:r w:rsidR="009678FF" w:rsidRPr="00B741A1">
        <w:rPr>
          <w:color w:val="000000" w:themeColor="text1"/>
          <w:sz w:val="22"/>
          <w:szCs w:val="22"/>
          <w:lang w:val="ru-RU" w:eastAsia="ro-MD"/>
        </w:rPr>
        <w:t>выполняться не реже одного раза в день</w:t>
      </w:r>
      <w:r w:rsidRPr="00B741A1">
        <w:rPr>
          <w:color w:val="000000" w:themeColor="text1"/>
          <w:sz w:val="22"/>
          <w:szCs w:val="22"/>
          <w:lang w:val="ru-RU" w:eastAsia="ro-MD"/>
        </w:rPr>
        <w:t>;</w:t>
      </w:r>
    </w:p>
    <w:p w14:paraId="3DD8D3FF" w14:textId="16D60767" w:rsidR="00064BD9" w:rsidRPr="00B741A1" w:rsidRDefault="00064BD9" w:rsidP="00064BD9">
      <w:pPr>
        <w:shd w:val="clear" w:color="auto" w:fill="FFFFFF"/>
        <w:ind w:firstLine="567"/>
        <w:jc w:val="both"/>
        <w:rPr>
          <w:color w:val="000000" w:themeColor="text1"/>
          <w:sz w:val="22"/>
          <w:szCs w:val="22"/>
          <w:lang w:val="ru-RU" w:eastAsia="ro-MD"/>
        </w:rPr>
      </w:pPr>
      <w:r w:rsidRPr="00B741A1">
        <w:rPr>
          <w:color w:val="000000" w:themeColor="text1"/>
          <w:sz w:val="22"/>
          <w:szCs w:val="22"/>
          <w:lang w:val="ru-RU" w:eastAsia="ro-MD"/>
        </w:rPr>
        <w:t>2) </w:t>
      </w:r>
      <w:r w:rsidR="009678FF" w:rsidRPr="00B741A1">
        <w:rPr>
          <w:color w:val="000000" w:themeColor="text1"/>
          <w:sz w:val="22"/>
          <w:szCs w:val="22"/>
          <w:lang w:val="ru-RU" w:eastAsia="ro-MD"/>
        </w:rPr>
        <w:t>основываться на одностороннем доверительном интервале на уровне 99-го процентиля</w:t>
      </w:r>
      <w:r w:rsidRPr="00B741A1">
        <w:rPr>
          <w:color w:val="000000" w:themeColor="text1"/>
          <w:sz w:val="22"/>
          <w:szCs w:val="22"/>
          <w:lang w:val="ru-RU" w:eastAsia="ro-MD"/>
        </w:rPr>
        <w:t>;</w:t>
      </w:r>
    </w:p>
    <w:p w14:paraId="4249AC76" w14:textId="16877669" w:rsidR="00064BD9" w:rsidRPr="00B741A1" w:rsidRDefault="00064BD9" w:rsidP="00064BD9">
      <w:pPr>
        <w:shd w:val="clear" w:color="auto" w:fill="FFFFFF"/>
        <w:ind w:firstLine="567"/>
        <w:jc w:val="both"/>
        <w:rPr>
          <w:color w:val="000000" w:themeColor="text1"/>
          <w:sz w:val="22"/>
          <w:szCs w:val="22"/>
          <w:lang w:val="ru-RU" w:eastAsia="ro-MD"/>
        </w:rPr>
      </w:pPr>
      <w:r w:rsidRPr="00B741A1">
        <w:rPr>
          <w:color w:val="000000" w:themeColor="text1"/>
          <w:sz w:val="22"/>
          <w:szCs w:val="22"/>
          <w:lang w:val="ru-RU" w:eastAsia="ro-MD"/>
        </w:rPr>
        <w:t>3</w:t>
      </w:r>
      <w:r w:rsidR="00363BCE">
        <w:rPr>
          <w:color w:val="000000" w:themeColor="text1"/>
          <w:sz w:val="22"/>
          <w:szCs w:val="22"/>
          <w:lang w:val="ru-RU" w:eastAsia="ro-MD"/>
        </w:rPr>
        <w:t>)</w:t>
      </w:r>
      <w:r w:rsidR="00B741A1" w:rsidRPr="00B741A1">
        <w:rPr>
          <w:lang w:val="ru-RU"/>
        </w:rPr>
        <w:t xml:space="preserve"> </w:t>
      </w:r>
      <w:r w:rsidR="00B741A1" w:rsidRPr="00B741A1">
        <w:rPr>
          <w:color w:val="000000" w:themeColor="text1"/>
          <w:sz w:val="22"/>
          <w:szCs w:val="22"/>
          <w:lang w:val="ru-RU" w:eastAsia="ro-MD"/>
        </w:rPr>
        <w:t>основываться на периоде владения, эквивалентном 5 дням, за исключением операций, отличных от операций выкупа ценных бумаг или операций по предоставлению ценных бумаг в заем или кредитованию, для которых должен использоваться период владения, эквивалентный 10 дням</w:t>
      </w:r>
      <w:r w:rsidRPr="00B741A1">
        <w:rPr>
          <w:color w:val="000000" w:themeColor="text1"/>
          <w:sz w:val="22"/>
          <w:szCs w:val="22"/>
          <w:lang w:val="ru-RU" w:eastAsia="ro-MD"/>
        </w:rPr>
        <w:t>;</w:t>
      </w:r>
    </w:p>
    <w:p w14:paraId="1F6A1378" w14:textId="29818A26" w:rsidR="00064BD9" w:rsidRPr="00B741A1" w:rsidRDefault="00890541" w:rsidP="00064BD9">
      <w:pPr>
        <w:shd w:val="clear" w:color="auto" w:fill="FFFFFF"/>
        <w:ind w:firstLine="567"/>
        <w:jc w:val="both"/>
        <w:rPr>
          <w:color w:val="000000" w:themeColor="text1"/>
          <w:sz w:val="22"/>
          <w:szCs w:val="22"/>
          <w:lang w:val="ru-RU" w:eastAsia="ro-MD"/>
        </w:rPr>
      </w:pPr>
      <w:r w:rsidRPr="00B741A1">
        <w:rPr>
          <w:color w:val="000000" w:themeColor="text1"/>
          <w:sz w:val="22"/>
          <w:szCs w:val="22"/>
          <w:lang w:val="ru-RU" w:eastAsia="ro-MD"/>
        </w:rPr>
        <w:t>4</w:t>
      </w:r>
      <w:r w:rsidR="00064BD9" w:rsidRPr="00B741A1">
        <w:rPr>
          <w:color w:val="000000" w:themeColor="text1"/>
          <w:sz w:val="22"/>
          <w:szCs w:val="22"/>
          <w:lang w:val="ru-RU" w:eastAsia="ro-MD"/>
        </w:rPr>
        <w:t>) </w:t>
      </w:r>
      <w:r w:rsidR="00B741A1" w:rsidRPr="00B741A1">
        <w:rPr>
          <w:color w:val="000000" w:themeColor="text1"/>
          <w:sz w:val="22"/>
          <w:szCs w:val="22"/>
          <w:lang w:val="ru-RU" w:eastAsia="ro-MD"/>
        </w:rPr>
        <w:t>основываться на эффективном историческом периоде наблюдения не менее одного года, если только значительное увеличение волатильности цен не оправдывает более короткий период наблюдения</w:t>
      </w:r>
      <w:r w:rsidR="00064BD9" w:rsidRPr="00B741A1">
        <w:rPr>
          <w:color w:val="000000" w:themeColor="text1"/>
          <w:sz w:val="22"/>
          <w:szCs w:val="22"/>
          <w:lang w:val="ru-RU" w:eastAsia="ro-MD"/>
        </w:rPr>
        <w:t>;</w:t>
      </w:r>
    </w:p>
    <w:p w14:paraId="4379ABF3" w14:textId="435D5CE4" w:rsidR="00064BD9" w:rsidRPr="00B741A1" w:rsidRDefault="00064BD9" w:rsidP="00890541">
      <w:pPr>
        <w:shd w:val="clear" w:color="auto" w:fill="FFFFFF"/>
        <w:ind w:firstLine="567"/>
        <w:jc w:val="both"/>
        <w:rPr>
          <w:color w:val="000000" w:themeColor="text1"/>
          <w:sz w:val="22"/>
          <w:szCs w:val="22"/>
          <w:lang w:val="ru-RU" w:eastAsia="ro-MD"/>
        </w:rPr>
      </w:pPr>
      <w:r w:rsidRPr="00B741A1">
        <w:rPr>
          <w:color w:val="000000" w:themeColor="text1"/>
          <w:sz w:val="22"/>
          <w:szCs w:val="22"/>
          <w:lang w:val="ru-RU" w:eastAsia="ro-MD"/>
        </w:rPr>
        <w:t>5) </w:t>
      </w:r>
      <w:r w:rsidR="00B741A1" w:rsidRPr="00B741A1">
        <w:rPr>
          <w:color w:val="000000" w:themeColor="text1"/>
          <w:sz w:val="22"/>
          <w:szCs w:val="22"/>
          <w:lang w:val="ru-RU" w:eastAsia="ro-MD"/>
        </w:rPr>
        <w:t>набор данных, используемый для расчета, должен обновляться каждые три месяца</w:t>
      </w:r>
      <w:r w:rsidRPr="00B741A1">
        <w:rPr>
          <w:color w:val="000000" w:themeColor="text1"/>
          <w:sz w:val="22"/>
          <w:szCs w:val="22"/>
          <w:lang w:val="ru-RU" w:eastAsia="ro-MD"/>
        </w:rPr>
        <w:t>.</w:t>
      </w:r>
    </w:p>
    <w:p w14:paraId="06BE7BA6" w14:textId="3FE90E64" w:rsidR="007F0D70" w:rsidRPr="007F0D70" w:rsidRDefault="00064BD9" w:rsidP="00075C13">
      <w:pPr>
        <w:shd w:val="clear" w:color="auto" w:fill="FFFFFF"/>
        <w:jc w:val="both"/>
        <w:rPr>
          <w:color w:val="000000" w:themeColor="text1"/>
          <w:sz w:val="22"/>
          <w:szCs w:val="22"/>
          <w:lang w:val="ru-RU" w:eastAsia="ro-MD"/>
        </w:rPr>
      </w:pPr>
      <w:r w:rsidRPr="00884D1F">
        <w:rPr>
          <w:b/>
          <w:bCs/>
          <w:color w:val="000000" w:themeColor="text1"/>
          <w:sz w:val="22"/>
          <w:szCs w:val="22"/>
          <w:lang w:val="ro-RO" w:eastAsia="ro-MD"/>
        </w:rPr>
        <w:t>72</w:t>
      </w:r>
      <w:r w:rsidRPr="00884D1F">
        <w:rPr>
          <w:b/>
          <w:bCs/>
          <w:color w:val="000000" w:themeColor="text1"/>
          <w:sz w:val="22"/>
          <w:szCs w:val="22"/>
          <w:vertAlign w:val="superscript"/>
          <w:lang w:val="ro-RO" w:eastAsia="ro-MD"/>
        </w:rPr>
        <w:t>10</w:t>
      </w:r>
      <w:r w:rsidRPr="00884D1F">
        <w:rPr>
          <w:b/>
          <w:bCs/>
          <w:color w:val="000000" w:themeColor="text1"/>
          <w:sz w:val="22"/>
          <w:szCs w:val="22"/>
          <w:lang w:val="ro-RO" w:eastAsia="ro-MD"/>
        </w:rPr>
        <w:t xml:space="preserve">. </w:t>
      </w:r>
      <w:r w:rsidR="007F0D70" w:rsidRPr="007F0D70">
        <w:rPr>
          <w:color w:val="000000" w:themeColor="text1"/>
          <w:sz w:val="22"/>
          <w:szCs w:val="22"/>
          <w:lang w:val="ru-RU" w:eastAsia="ro-MD"/>
        </w:rPr>
        <w:t>Если банк осуществляет операцию выкупа, операцию кредитования или заимствования в отношении ценных бумаг или товаров, операцию маржинального кредитования или другую аналогичную операцию или взаимозачет, которая соответствует критериям стоимости подверженности для взаимозачетов, подпадающих под действие маржинального контракта, установленным в Регламенте № 220/2025, минимальный период удержания должен соответствовать периоду маржинального риска, который применяется в соответствии с указанным регламентом, а также положениям, касающимся восстановления маржи с периодичностью N дней.</w:t>
      </w:r>
    </w:p>
    <w:p w14:paraId="3C886E8F" w14:textId="24E43228" w:rsidR="007B7B46" w:rsidRPr="00F62C15" w:rsidRDefault="00064BD9" w:rsidP="00064BD9">
      <w:pPr>
        <w:shd w:val="clear" w:color="auto" w:fill="FFFFFF"/>
        <w:jc w:val="both"/>
        <w:rPr>
          <w:color w:val="000000" w:themeColor="text1"/>
          <w:sz w:val="22"/>
          <w:szCs w:val="22"/>
          <w:lang w:val="ru-RU"/>
        </w:rPr>
      </w:pPr>
      <w:r w:rsidRPr="00F62C15">
        <w:rPr>
          <w:b/>
          <w:bCs/>
          <w:color w:val="000000" w:themeColor="text1"/>
          <w:sz w:val="22"/>
          <w:szCs w:val="22"/>
          <w:lang w:val="ru-RU" w:eastAsia="ro-MD"/>
        </w:rPr>
        <w:t>72</w:t>
      </w:r>
      <w:r w:rsidRPr="00F62C15">
        <w:rPr>
          <w:b/>
          <w:bCs/>
          <w:color w:val="000000" w:themeColor="text1"/>
          <w:sz w:val="22"/>
          <w:szCs w:val="22"/>
          <w:vertAlign w:val="superscript"/>
          <w:lang w:val="ru-RU" w:eastAsia="ro-MD"/>
        </w:rPr>
        <w:t>1</w:t>
      </w:r>
      <w:r w:rsidR="00BD392A" w:rsidRPr="00F62C15">
        <w:rPr>
          <w:b/>
          <w:bCs/>
          <w:color w:val="000000" w:themeColor="text1"/>
          <w:sz w:val="22"/>
          <w:szCs w:val="22"/>
          <w:vertAlign w:val="superscript"/>
          <w:lang w:val="ru-RU" w:eastAsia="ro-MD"/>
        </w:rPr>
        <w:t>1</w:t>
      </w:r>
      <w:r w:rsidRPr="00F62C15">
        <w:rPr>
          <w:b/>
          <w:bCs/>
          <w:color w:val="000000" w:themeColor="text1"/>
          <w:sz w:val="22"/>
          <w:szCs w:val="22"/>
          <w:lang w:val="ru-RU" w:eastAsia="ro-MD"/>
        </w:rPr>
        <w:t xml:space="preserve">. </w:t>
      </w:r>
      <w:r w:rsidR="00F62C15" w:rsidRPr="00F62C15">
        <w:rPr>
          <w:color w:val="000000" w:themeColor="text1"/>
          <w:sz w:val="22"/>
          <w:szCs w:val="22"/>
          <w:lang w:val="ru-RU" w:eastAsia="ro-MD"/>
        </w:rPr>
        <w:t>Для получения разрешения, указанного в пункте 72</w:t>
      </w:r>
      <w:r w:rsidR="00F62C15" w:rsidRPr="00F62C15">
        <w:rPr>
          <w:color w:val="000000" w:themeColor="text1"/>
          <w:sz w:val="22"/>
          <w:szCs w:val="22"/>
          <w:vertAlign w:val="superscript"/>
          <w:lang w:val="ru-RU" w:eastAsia="ro-MD"/>
        </w:rPr>
        <w:t>4</w:t>
      </w:r>
      <w:r w:rsidR="00F62C15" w:rsidRPr="00F62C15">
        <w:rPr>
          <w:color w:val="000000" w:themeColor="text1"/>
          <w:sz w:val="22"/>
          <w:szCs w:val="22"/>
          <w:lang w:val="ru-RU" w:eastAsia="ro-MD"/>
        </w:rPr>
        <w:t>, банк направит письменный запрос в Национальный банк Молдовы, приложив соответствующую информацию/документацию, подтверждающую выполнение условий, указанных в этом пункте.</w:t>
      </w:r>
      <w:r w:rsidR="00F62C15" w:rsidRPr="00F62C15">
        <w:rPr>
          <w:color w:val="000000" w:themeColor="text1"/>
          <w:sz w:val="22"/>
          <w:szCs w:val="22"/>
          <w:lang w:val="ru-RU"/>
        </w:rPr>
        <w:t>»</w:t>
      </w:r>
      <w:r w:rsidR="007B7B46" w:rsidRPr="00F62C15">
        <w:rPr>
          <w:color w:val="000000" w:themeColor="text1"/>
          <w:sz w:val="22"/>
          <w:szCs w:val="22"/>
          <w:lang w:val="ru-RU"/>
        </w:rPr>
        <w:t>.</w:t>
      </w:r>
    </w:p>
    <w:p w14:paraId="71F3D0C7" w14:textId="22080BED" w:rsidR="00F7502D" w:rsidRPr="00BE455D" w:rsidRDefault="007948C2" w:rsidP="00423178">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BE455D">
        <w:rPr>
          <w:color w:val="000000" w:themeColor="text1"/>
          <w:sz w:val="22"/>
          <w:szCs w:val="22"/>
          <w:lang w:val="ru-RU"/>
        </w:rPr>
        <w:t xml:space="preserve">Пункт </w:t>
      </w:r>
      <w:r w:rsidR="007A010E" w:rsidRPr="00BE455D">
        <w:rPr>
          <w:color w:val="000000" w:themeColor="text1"/>
          <w:sz w:val="22"/>
          <w:szCs w:val="22"/>
          <w:lang w:val="ru-RU"/>
        </w:rPr>
        <w:t xml:space="preserve">73 </w:t>
      </w:r>
      <w:r w:rsidRPr="00BE455D">
        <w:rPr>
          <w:color w:val="000000" w:themeColor="text1"/>
          <w:sz w:val="22"/>
          <w:szCs w:val="22"/>
          <w:lang w:val="ru-RU"/>
        </w:rPr>
        <w:t>дополнить текстом «</w:t>
      </w:r>
      <w:r w:rsidR="00BE455D" w:rsidRPr="00BE455D">
        <w:rPr>
          <w:color w:val="000000" w:themeColor="text1"/>
          <w:sz w:val="22"/>
          <w:szCs w:val="22"/>
          <w:lang w:val="ru-RU" w:eastAsia="ro-MD"/>
        </w:rPr>
        <w:t>Банки могут использовать простой метод финансового обеспечения только в том случае, если они рассчитывают взвешенные по риску суммы подверженностей в соответствии со стандартизированным подходом.»</w:t>
      </w:r>
      <w:r w:rsidR="007A010E" w:rsidRPr="00BE455D">
        <w:rPr>
          <w:color w:val="000000" w:themeColor="text1"/>
          <w:sz w:val="22"/>
          <w:szCs w:val="22"/>
          <w:lang w:val="ru-RU" w:eastAsia="ro-MD"/>
        </w:rPr>
        <w:t>.</w:t>
      </w:r>
    </w:p>
    <w:p w14:paraId="403D0A1C" w14:textId="43E79CF8" w:rsidR="00423178" w:rsidRPr="00884D1F" w:rsidRDefault="00BE455D" w:rsidP="00423178">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eastAsia="ro-MD"/>
        </w:rPr>
        <w:t>Пункт</w:t>
      </w:r>
      <w:r w:rsidR="001B4B40" w:rsidRPr="00884D1F">
        <w:rPr>
          <w:color w:val="000000" w:themeColor="text1"/>
          <w:sz w:val="22"/>
          <w:szCs w:val="22"/>
          <w:lang w:val="ro-RO" w:eastAsia="ro-MD"/>
        </w:rPr>
        <w:t xml:space="preserve"> 74 </w:t>
      </w:r>
      <w:r>
        <w:rPr>
          <w:color w:val="000000" w:themeColor="text1"/>
          <w:sz w:val="22"/>
          <w:szCs w:val="22"/>
          <w:lang w:val="ru-RU" w:eastAsia="ro-MD"/>
        </w:rPr>
        <w:t>изложить в следующей редакции</w:t>
      </w:r>
      <w:r w:rsidR="001B4B40" w:rsidRPr="00884D1F">
        <w:rPr>
          <w:color w:val="000000" w:themeColor="text1"/>
          <w:sz w:val="22"/>
          <w:szCs w:val="22"/>
          <w:lang w:val="ro-RO" w:eastAsia="ro-MD"/>
        </w:rPr>
        <w:t>:</w:t>
      </w:r>
    </w:p>
    <w:p w14:paraId="4FB17828" w14:textId="7428F006" w:rsidR="001B4B40" w:rsidRPr="0003239F" w:rsidRDefault="00BE455D" w:rsidP="00C63E10">
      <w:pPr>
        <w:tabs>
          <w:tab w:val="left" w:pos="567"/>
        </w:tabs>
        <w:jc w:val="both"/>
        <w:rPr>
          <w:color w:val="000000" w:themeColor="text1"/>
          <w:sz w:val="22"/>
          <w:szCs w:val="22"/>
          <w:lang w:val="ru-RU"/>
        </w:rPr>
      </w:pPr>
      <w:r w:rsidRPr="0003239F">
        <w:rPr>
          <w:b/>
          <w:bCs/>
          <w:color w:val="000000" w:themeColor="text1"/>
          <w:sz w:val="22"/>
          <w:szCs w:val="22"/>
          <w:lang w:val="ru-RU" w:eastAsia="ro-MD"/>
        </w:rPr>
        <w:t>«</w:t>
      </w:r>
      <w:r w:rsidR="00C63E10" w:rsidRPr="0003239F">
        <w:rPr>
          <w:b/>
          <w:bCs/>
          <w:color w:val="000000" w:themeColor="text1"/>
          <w:sz w:val="22"/>
          <w:szCs w:val="22"/>
          <w:lang w:val="ru-RU" w:eastAsia="ro-MD"/>
        </w:rPr>
        <w:t>74.</w:t>
      </w:r>
      <w:r w:rsidR="00C63E10" w:rsidRPr="0003239F">
        <w:rPr>
          <w:color w:val="000000" w:themeColor="text1"/>
          <w:sz w:val="22"/>
          <w:szCs w:val="22"/>
          <w:lang w:val="ru-RU" w:eastAsia="ro-MD"/>
        </w:rPr>
        <w:t xml:space="preserve"> </w:t>
      </w:r>
      <w:r w:rsidR="00B754C3" w:rsidRPr="0003239F">
        <w:rPr>
          <w:color w:val="000000" w:themeColor="text1"/>
          <w:sz w:val="22"/>
          <w:szCs w:val="22"/>
          <w:lang w:val="ru-RU" w:eastAsia="ro-MD"/>
        </w:rPr>
        <w:t>Банки не должны использовать одновременно простой и расширенный методы финансовых гарантий, за исключением случаев применения подхода, основанного на внутренних рейтингах, для различных классов подверженностей и бизнес-единиц, а также в условиях постоянного частичного использования в соответствии с нормативными актами Национального банка Молдовы, касающимися подхода, основанного на внутренних рейтингах. Банки не должны использовать это исключение выборочно, для снижения требований к собственным средствам или для осуществления регуляторного арбитража.»</w:t>
      </w:r>
      <w:r w:rsidR="00C63E10" w:rsidRPr="0003239F">
        <w:rPr>
          <w:color w:val="000000" w:themeColor="text1"/>
          <w:sz w:val="22"/>
          <w:szCs w:val="22"/>
          <w:lang w:val="ru-RU" w:eastAsia="ro-MD"/>
        </w:rPr>
        <w:t>.</w:t>
      </w:r>
    </w:p>
    <w:p w14:paraId="6D2A125B" w14:textId="35451EC4" w:rsidR="00BC51B5" w:rsidRPr="00F02294" w:rsidRDefault="00FA4DBA"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F02294">
        <w:rPr>
          <w:color w:val="000000" w:themeColor="text1"/>
          <w:sz w:val="22"/>
          <w:szCs w:val="22"/>
          <w:lang w:val="ru-MD"/>
        </w:rPr>
        <w:t>В пункте</w:t>
      </w:r>
      <w:r w:rsidR="00C63E10" w:rsidRPr="00F02294">
        <w:rPr>
          <w:color w:val="000000" w:themeColor="text1"/>
          <w:sz w:val="22"/>
          <w:szCs w:val="22"/>
          <w:lang w:val="ru-MD"/>
        </w:rPr>
        <w:t xml:space="preserve"> 80</w:t>
      </w:r>
      <w:r w:rsidRPr="00F02294">
        <w:rPr>
          <w:color w:val="000000" w:themeColor="text1"/>
          <w:sz w:val="22"/>
          <w:szCs w:val="22"/>
          <w:lang w:val="ru-MD"/>
        </w:rPr>
        <w:t xml:space="preserve"> после слов «</w:t>
      </w:r>
      <w:r w:rsidRPr="00F02294">
        <w:rPr>
          <w:sz w:val="22"/>
          <w:szCs w:val="22"/>
          <w:lang w:val="ru-MD" w:eastAsia="ro-MD"/>
        </w:rPr>
        <w:t xml:space="preserve">стоимости подверженностей» </w:t>
      </w:r>
      <w:r w:rsidR="00BB4240" w:rsidRPr="00F02294">
        <w:rPr>
          <w:sz w:val="22"/>
          <w:szCs w:val="22"/>
          <w:lang w:val="ru-MD" w:eastAsia="ro-MD"/>
        </w:rPr>
        <w:t>дополнить текстом «</w:t>
      </w:r>
      <w:r w:rsidR="00C63E10" w:rsidRPr="00F02294">
        <w:rPr>
          <w:color w:val="000000" w:themeColor="text1"/>
          <w:sz w:val="22"/>
          <w:szCs w:val="22"/>
          <w:lang w:val="ru-MD"/>
        </w:rPr>
        <w:t xml:space="preserve">, </w:t>
      </w:r>
      <w:r w:rsidR="003B38CE" w:rsidRPr="00F02294">
        <w:rPr>
          <w:color w:val="000000" w:themeColor="text1"/>
          <w:sz w:val="22"/>
          <w:szCs w:val="22"/>
          <w:lang w:val="ru-MD"/>
        </w:rPr>
        <w:t xml:space="preserve">определенной в соответствии с </w:t>
      </w:r>
      <w:bookmarkStart w:id="5" w:name="_Hlk232168852"/>
      <w:r w:rsidR="00363BCE" w:rsidRPr="00363BCE">
        <w:rPr>
          <w:color w:val="000000" w:themeColor="text1"/>
          <w:sz w:val="22"/>
          <w:szCs w:val="22"/>
          <w:lang w:val="ru-MD"/>
        </w:rPr>
        <w:t xml:space="preserve">Регламентом № </w:t>
      </w:r>
      <w:r w:rsidR="00363BCE">
        <w:rPr>
          <w:color w:val="000000" w:themeColor="text1"/>
          <w:sz w:val="22"/>
          <w:szCs w:val="22"/>
          <w:lang w:val="ru-MD"/>
        </w:rPr>
        <w:t>220</w:t>
      </w:r>
      <w:r w:rsidR="00363BCE" w:rsidRPr="00363BCE">
        <w:rPr>
          <w:color w:val="000000" w:themeColor="text1"/>
          <w:sz w:val="22"/>
          <w:szCs w:val="22"/>
          <w:lang w:val="ru-MD"/>
        </w:rPr>
        <w:t>/20</w:t>
      </w:r>
      <w:r w:rsidR="00363BCE">
        <w:rPr>
          <w:color w:val="000000" w:themeColor="text1"/>
          <w:sz w:val="22"/>
          <w:szCs w:val="22"/>
          <w:lang w:val="ru-MD"/>
        </w:rPr>
        <w:t>25</w:t>
      </w:r>
      <w:bookmarkEnd w:id="5"/>
      <w:r w:rsidR="003B38CE" w:rsidRPr="00F02294">
        <w:rPr>
          <w:color w:val="000000" w:themeColor="text1"/>
          <w:sz w:val="22"/>
          <w:szCs w:val="22"/>
          <w:lang w:val="ru-MD"/>
        </w:rPr>
        <w:t>» а слова «</w:t>
      </w:r>
      <w:r w:rsidR="00B039AF" w:rsidRPr="00F02294">
        <w:rPr>
          <w:sz w:val="22"/>
          <w:szCs w:val="22"/>
          <w:lang w:val="ru-MD" w:eastAsia="ro-MD"/>
        </w:rPr>
        <w:t>производных финансовых инструментов,» дополнить словами «</w:t>
      </w:r>
      <w:r w:rsidR="00F02294" w:rsidRPr="00F02294">
        <w:rPr>
          <w:sz w:val="22"/>
          <w:szCs w:val="22"/>
          <w:lang w:val="ru-MD" w:eastAsia="ro-MD"/>
        </w:rPr>
        <w:t>перечисленных в приложении № 1 к Регламенту № 114/2018 и»</w:t>
      </w:r>
      <w:r w:rsidR="00C63E10" w:rsidRPr="00F02294">
        <w:rPr>
          <w:color w:val="000000" w:themeColor="text1"/>
          <w:sz w:val="22"/>
          <w:szCs w:val="22"/>
          <w:lang w:val="ru-MD"/>
        </w:rPr>
        <w:t>.</w:t>
      </w:r>
    </w:p>
    <w:p w14:paraId="77F1D9A5" w14:textId="563CF837" w:rsidR="008A5EC9" w:rsidRPr="00884D1F" w:rsidRDefault="00F02294"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Пункт</w:t>
      </w:r>
      <w:r w:rsidR="00C63E10" w:rsidRPr="00884D1F">
        <w:rPr>
          <w:color w:val="000000" w:themeColor="text1"/>
          <w:sz w:val="22"/>
          <w:szCs w:val="22"/>
          <w:lang w:val="ro-MD"/>
        </w:rPr>
        <w:t xml:space="preserve"> 83 </w:t>
      </w:r>
      <w:r>
        <w:rPr>
          <w:color w:val="000000" w:themeColor="text1"/>
          <w:sz w:val="22"/>
          <w:szCs w:val="22"/>
          <w:lang w:val="ru-RU"/>
        </w:rPr>
        <w:t>дополнить подпунктом</w:t>
      </w:r>
      <w:r w:rsidR="00C63E10" w:rsidRPr="00884D1F">
        <w:rPr>
          <w:color w:val="000000" w:themeColor="text1"/>
          <w:sz w:val="22"/>
          <w:szCs w:val="22"/>
          <w:lang w:val="ro-MD"/>
        </w:rPr>
        <w:t xml:space="preserve"> 4) </w:t>
      </w:r>
      <w:r>
        <w:rPr>
          <w:color w:val="000000" w:themeColor="text1"/>
          <w:sz w:val="22"/>
          <w:szCs w:val="22"/>
          <w:lang w:val="ru-RU"/>
        </w:rPr>
        <w:t>следующего содержания</w:t>
      </w:r>
      <w:r w:rsidR="00C63E10" w:rsidRPr="00884D1F">
        <w:rPr>
          <w:color w:val="000000" w:themeColor="text1"/>
          <w:sz w:val="22"/>
          <w:szCs w:val="22"/>
          <w:lang w:val="ro-MD"/>
        </w:rPr>
        <w:t>:</w:t>
      </w:r>
    </w:p>
    <w:p w14:paraId="17339BFE" w14:textId="42DC0D9A" w:rsidR="00C63E10" w:rsidRPr="00AF3F98" w:rsidRDefault="00F02294" w:rsidP="00C63E10">
      <w:pPr>
        <w:tabs>
          <w:tab w:val="left" w:pos="567"/>
        </w:tabs>
        <w:jc w:val="both"/>
        <w:rPr>
          <w:color w:val="000000" w:themeColor="text1"/>
          <w:sz w:val="22"/>
          <w:szCs w:val="22"/>
          <w:lang w:val="ru-MD"/>
        </w:rPr>
      </w:pPr>
      <w:r w:rsidRPr="00AF3F98">
        <w:rPr>
          <w:color w:val="000000" w:themeColor="text1"/>
          <w:sz w:val="22"/>
          <w:szCs w:val="22"/>
          <w:lang w:val="ru-MD" w:eastAsia="ro-MD"/>
        </w:rPr>
        <w:t>«</w:t>
      </w:r>
      <w:r w:rsidR="00C63E10" w:rsidRPr="00AF3F98">
        <w:rPr>
          <w:color w:val="000000" w:themeColor="text1"/>
          <w:sz w:val="22"/>
          <w:szCs w:val="22"/>
          <w:lang w:val="ru-MD" w:eastAsia="ro-MD"/>
        </w:rPr>
        <w:t xml:space="preserve">4) </w:t>
      </w:r>
      <w:r w:rsidR="006A4CA6" w:rsidRPr="00AF3F98">
        <w:rPr>
          <w:color w:val="000000" w:themeColor="text1"/>
          <w:sz w:val="22"/>
          <w:szCs w:val="22"/>
          <w:lang w:val="ru-MD" w:eastAsia="ro-MD"/>
        </w:rPr>
        <w:t>долговые ценные бумаги, выпущенные р</w:t>
      </w:r>
      <w:r w:rsidR="00AF3F98" w:rsidRPr="00AF3F98">
        <w:rPr>
          <w:color w:val="000000" w:themeColor="text1"/>
          <w:sz w:val="22"/>
          <w:szCs w:val="22"/>
          <w:lang w:val="ru-MD" w:eastAsia="ro-MD"/>
        </w:rPr>
        <w:t>е</w:t>
      </w:r>
      <w:r w:rsidR="006A4CA6" w:rsidRPr="00AF3F98">
        <w:rPr>
          <w:color w:val="000000" w:themeColor="text1"/>
          <w:sz w:val="22"/>
          <w:szCs w:val="22"/>
          <w:lang w:val="ru-MD" w:eastAsia="ro-MD"/>
        </w:rPr>
        <w:t>гиональными администрациями или местными органами, если подверженности перед ними рассматриваются как подверженно</w:t>
      </w:r>
      <w:r w:rsidR="00AF3F98" w:rsidRPr="00AF3F98">
        <w:rPr>
          <w:color w:val="000000" w:themeColor="text1"/>
          <w:sz w:val="22"/>
          <w:szCs w:val="22"/>
          <w:lang w:val="ru-MD" w:eastAsia="ro-MD"/>
        </w:rPr>
        <w:t>сти перед центральной администрацией, в юрисдикции которого они находятся</w:t>
      </w:r>
      <w:r w:rsidR="00C63E10" w:rsidRPr="00AF3F98">
        <w:rPr>
          <w:color w:val="000000" w:themeColor="text1"/>
          <w:sz w:val="22"/>
          <w:szCs w:val="22"/>
          <w:lang w:val="ru-MD" w:eastAsia="ro-MD"/>
        </w:rPr>
        <w:t>,</w:t>
      </w:r>
      <w:r w:rsidR="00AF3F98" w:rsidRPr="00AF3F98">
        <w:rPr>
          <w:color w:val="000000" w:themeColor="text1"/>
          <w:sz w:val="22"/>
          <w:szCs w:val="22"/>
          <w:lang w:val="ru-MD" w:eastAsia="ro-MD"/>
        </w:rPr>
        <w:t xml:space="preserve"> в соответствии с Регламентом № </w:t>
      </w:r>
      <w:r w:rsidR="00C63E10" w:rsidRPr="00AF3F98">
        <w:rPr>
          <w:color w:val="000000" w:themeColor="text1"/>
          <w:sz w:val="22"/>
          <w:szCs w:val="22"/>
          <w:lang w:val="ru-MD" w:eastAsia="ro-MD"/>
        </w:rPr>
        <w:t>111/2018.</w:t>
      </w:r>
      <w:r w:rsidR="00AF3F98" w:rsidRPr="00AF3F98">
        <w:rPr>
          <w:color w:val="000000" w:themeColor="text1"/>
          <w:sz w:val="22"/>
          <w:szCs w:val="22"/>
          <w:lang w:val="ru-MD" w:eastAsia="ro-MD"/>
        </w:rPr>
        <w:t>»</w:t>
      </w:r>
      <w:r w:rsidR="00C63E10" w:rsidRPr="00AF3F98">
        <w:rPr>
          <w:color w:val="000000" w:themeColor="text1"/>
          <w:sz w:val="22"/>
          <w:szCs w:val="22"/>
          <w:lang w:val="ru-MD" w:eastAsia="ro-MD"/>
        </w:rPr>
        <w:t>.</w:t>
      </w:r>
    </w:p>
    <w:p w14:paraId="7F9506CB" w14:textId="6EC0DF31" w:rsidR="00C63E10" w:rsidRPr="00884D1F" w:rsidRDefault="00A1218E"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Пункт</w:t>
      </w:r>
      <w:r w:rsidR="00C63E10" w:rsidRPr="00884D1F">
        <w:rPr>
          <w:color w:val="000000" w:themeColor="text1"/>
          <w:sz w:val="22"/>
          <w:szCs w:val="22"/>
          <w:lang w:val="ro-MD"/>
        </w:rPr>
        <w:t xml:space="preserve"> 86</w:t>
      </w:r>
      <w:r w:rsidR="006952B7" w:rsidRPr="00884D1F">
        <w:rPr>
          <w:color w:val="000000" w:themeColor="text1"/>
          <w:sz w:val="22"/>
          <w:szCs w:val="22"/>
          <w:lang w:val="ro-MD"/>
        </w:rPr>
        <w:t>,</w:t>
      </w:r>
      <w:r w:rsidRPr="00A1218E">
        <w:rPr>
          <w:color w:val="000000" w:themeColor="text1"/>
          <w:sz w:val="22"/>
          <w:szCs w:val="22"/>
          <w:lang w:val="ru-MD"/>
        </w:rPr>
        <w:t xml:space="preserve"> </w:t>
      </w:r>
      <w:r>
        <w:rPr>
          <w:color w:val="000000" w:themeColor="text1"/>
          <w:sz w:val="22"/>
          <w:szCs w:val="22"/>
          <w:lang w:val="ru-RU"/>
        </w:rPr>
        <w:t>после</w:t>
      </w:r>
      <w:r w:rsidRPr="00A1218E">
        <w:rPr>
          <w:color w:val="000000" w:themeColor="text1"/>
          <w:sz w:val="22"/>
          <w:szCs w:val="22"/>
          <w:lang w:val="ru-MD"/>
        </w:rPr>
        <w:t xml:space="preserve"> </w:t>
      </w:r>
      <w:r>
        <w:rPr>
          <w:color w:val="000000" w:themeColor="text1"/>
          <w:sz w:val="22"/>
          <w:szCs w:val="22"/>
          <w:lang w:val="ru-RU"/>
        </w:rPr>
        <w:t>слов</w:t>
      </w:r>
      <w:r w:rsidRPr="00A1218E">
        <w:rPr>
          <w:color w:val="000000" w:themeColor="text1"/>
          <w:sz w:val="22"/>
          <w:szCs w:val="22"/>
          <w:lang w:val="ru-MD"/>
        </w:rPr>
        <w:t xml:space="preserve"> «</w:t>
      </w:r>
      <w:r>
        <w:rPr>
          <w:color w:val="000000" w:themeColor="text1"/>
          <w:sz w:val="22"/>
          <w:szCs w:val="22"/>
          <w:lang w:val="ru-RU"/>
        </w:rPr>
        <w:t xml:space="preserve">соглашениями зачета» дополнить текстом «, признанных </w:t>
      </w:r>
      <w:r w:rsidR="009168E6">
        <w:rPr>
          <w:color w:val="000000" w:themeColor="text1"/>
          <w:sz w:val="22"/>
          <w:szCs w:val="22"/>
          <w:lang w:val="ru-RU"/>
        </w:rPr>
        <w:t xml:space="preserve">в соответствии с Регламентом № </w:t>
      </w:r>
      <w:r w:rsidR="003A1954" w:rsidRPr="00884D1F">
        <w:rPr>
          <w:color w:val="000000" w:themeColor="text1"/>
          <w:sz w:val="22"/>
          <w:szCs w:val="22"/>
          <w:lang w:val="ro-RO" w:eastAsia="ro-MD"/>
        </w:rPr>
        <w:t>220/2025</w:t>
      </w:r>
      <w:r w:rsidR="003B441E" w:rsidRPr="00884D1F">
        <w:rPr>
          <w:color w:val="000000" w:themeColor="text1"/>
          <w:sz w:val="22"/>
          <w:szCs w:val="22"/>
          <w:lang w:val="ro-RO" w:eastAsia="ro-MD"/>
        </w:rPr>
        <w:t>,</w:t>
      </w:r>
      <w:r w:rsidR="009168E6">
        <w:rPr>
          <w:color w:val="000000" w:themeColor="text1"/>
          <w:sz w:val="22"/>
          <w:szCs w:val="22"/>
          <w:lang w:val="ru-RU" w:eastAsia="ro-MD"/>
        </w:rPr>
        <w:t>»</w:t>
      </w:r>
      <w:r w:rsidR="00282939" w:rsidRPr="00884D1F">
        <w:rPr>
          <w:color w:val="000000" w:themeColor="text1"/>
          <w:sz w:val="22"/>
          <w:szCs w:val="22"/>
          <w:lang w:val="ro-RO" w:eastAsia="ro-MD"/>
        </w:rPr>
        <w:t>.</w:t>
      </w:r>
    </w:p>
    <w:p w14:paraId="6744B096" w14:textId="1F874C7B" w:rsidR="00C63E10" w:rsidRPr="00647BF7" w:rsidRDefault="009168E6"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647BF7">
        <w:rPr>
          <w:color w:val="000000" w:themeColor="text1"/>
          <w:sz w:val="22"/>
          <w:szCs w:val="22"/>
          <w:lang w:val="ru-RU"/>
        </w:rPr>
        <w:t xml:space="preserve">В пункте </w:t>
      </w:r>
      <w:r w:rsidR="006551C5" w:rsidRPr="00647BF7">
        <w:rPr>
          <w:color w:val="000000" w:themeColor="text1"/>
          <w:sz w:val="22"/>
          <w:szCs w:val="22"/>
          <w:lang w:val="ru-RU"/>
        </w:rPr>
        <w:t>89</w:t>
      </w:r>
      <w:r w:rsidRPr="00647BF7">
        <w:rPr>
          <w:color w:val="000000" w:themeColor="text1"/>
          <w:sz w:val="22"/>
          <w:szCs w:val="22"/>
          <w:lang w:val="ru-RU"/>
        </w:rPr>
        <w:t xml:space="preserve"> текст «</w:t>
      </w:r>
      <w:r w:rsidR="008E3B85" w:rsidRPr="00647BF7">
        <w:rPr>
          <w:color w:val="000000" w:themeColor="text1"/>
          <w:sz w:val="22"/>
          <w:szCs w:val="22"/>
          <w:lang w:val="ru-RU"/>
        </w:rPr>
        <w:t xml:space="preserve">Регламентом № </w:t>
      </w:r>
      <w:r w:rsidR="006551C5" w:rsidRPr="00647BF7">
        <w:rPr>
          <w:color w:val="000000" w:themeColor="text1"/>
          <w:sz w:val="22"/>
          <w:szCs w:val="22"/>
          <w:lang w:val="ru-RU" w:eastAsia="ro-MD"/>
        </w:rPr>
        <w:t>111/2018</w:t>
      </w:r>
      <w:r w:rsidR="008E3B85" w:rsidRPr="00647BF7">
        <w:rPr>
          <w:color w:val="000000" w:themeColor="text1"/>
          <w:sz w:val="22"/>
          <w:szCs w:val="22"/>
          <w:lang w:val="ru-RU" w:eastAsia="ro-MD"/>
        </w:rPr>
        <w:t xml:space="preserve">» дополнить текстом «или нормативным </w:t>
      </w:r>
      <w:r w:rsidR="00647BF7" w:rsidRPr="00647BF7">
        <w:rPr>
          <w:color w:val="000000" w:themeColor="text1"/>
          <w:sz w:val="22"/>
          <w:szCs w:val="22"/>
          <w:lang w:val="ru-RU" w:eastAsia="ro-MD"/>
        </w:rPr>
        <w:t>актом Национального</w:t>
      </w:r>
      <w:r w:rsidR="00C73473" w:rsidRPr="00647BF7">
        <w:rPr>
          <w:color w:val="000000" w:themeColor="text1"/>
          <w:sz w:val="22"/>
          <w:szCs w:val="22"/>
          <w:lang w:val="ru-RU" w:eastAsia="ro-MD"/>
        </w:rPr>
        <w:t xml:space="preserve"> банка Молдовы об отношении </w:t>
      </w:r>
      <w:r w:rsidR="000728FD">
        <w:rPr>
          <w:color w:val="000000" w:themeColor="text1"/>
          <w:sz w:val="22"/>
          <w:szCs w:val="22"/>
          <w:lang w:val="ru-RU" w:eastAsia="ro-MD"/>
        </w:rPr>
        <w:t>к кредитному риску в соответствии с подходом</w:t>
      </w:r>
      <w:r w:rsidR="00C73473" w:rsidRPr="00647BF7">
        <w:rPr>
          <w:color w:val="000000" w:themeColor="text1"/>
          <w:sz w:val="22"/>
          <w:szCs w:val="22"/>
          <w:lang w:val="ru-RU" w:eastAsia="ro-MD"/>
        </w:rPr>
        <w:t xml:space="preserve"> IRB, </w:t>
      </w:r>
      <w:r w:rsidR="00647BF7" w:rsidRPr="00647BF7">
        <w:rPr>
          <w:color w:val="000000" w:themeColor="text1"/>
          <w:sz w:val="22"/>
          <w:szCs w:val="22"/>
          <w:lang w:val="ru-RU" w:eastAsia="ro-MD"/>
        </w:rPr>
        <w:t>если это необходимо.»</w:t>
      </w:r>
      <w:r w:rsidR="006551C5" w:rsidRPr="00647BF7">
        <w:rPr>
          <w:color w:val="000000" w:themeColor="text1"/>
          <w:sz w:val="22"/>
          <w:szCs w:val="22"/>
          <w:lang w:val="ru-RU" w:eastAsia="ro-MD"/>
        </w:rPr>
        <w:t>.</w:t>
      </w:r>
    </w:p>
    <w:p w14:paraId="5028009B" w14:textId="017F4F18" w:rsidR="006551C5" w:rsidRPr="00C0657F" w:rsidRDefault="00647BF7"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C0657F">
        <w:rPr>
          <w:color w:val="000000" w:themeColor="text1"/>
          <w:sz w:val="22"/>
          <w:szCs w:val="22"/>
          <w:lang w:val="ru-MD"/>
        </w:rPr>
        <w:t>В пункте</w:t>
      </w:r>
      <w:r w:rsidR="00C74A9C" w:rsidRPr="00C0657F">
        <w:rPr>
          <w:color w:val="000000" w:themeColor="text1"/>
          <w:sz w:val="22"/>
          <w:szCs w:val="22"/>
          <w:lang w:val="ru-MD"/>
        </w:rPr>
        <w:t xml:space="preserve"> 90</w:t>
      </w:r>
      <w:r w:rsidRPr="00C0657F">
        <w:rPr>
          <w:color w:val="000000" w:themeColor="text1"/>
          <w:sz w:val="22"/>
          <w:szCs w:val="22"/>
          <w:lang w:val="ru-MD"/>
        </w:rPr>
        <w:t xml:space="preserve"> текст «</w:t>
      </w:r>
      <w:r w:rsidR="001A13E1" w:rsidRPr="00C0657F">
        <w:rPr>
          <w:color w:val="000000" w:themeColor="text1"/>
          <w:sz w:val="22"/>
          <w:szCs w:val="22"/>
          <w:lang w:val="ru-MD"/>
        </w:rPr>
        <w:t xml:space="preserve">Без ущерба для пункта </w:t>
      </w:r>
      <w:r w:rsidR="00C74A9C" w:rsidRPr="00C0657F">
        <w:rPr>
          <w:color w:val="000000" w:themeColor="text1"/>
          <w:sz w:val="22"/>
          <w:szCs w:val="22"/>
          <w:lang w:val="ru-MD" w:eastAsia="ro-MD"/>
        </w:rPr>
        <w:t>89,</w:t>
      </w:r>
      <w:r w:rsidR="001A13E1" w:rsidRPr="00C0657F">
        <w:rPr>
          <w:color w:val="000000" w:themeColor="text1"/>
          <w:sz w:val="22"/>
          <w:szCs w:val="22"/>
          <w:lang w:val="ru-MD" w:eastAsia="ro-MD"/>
        </w:rPr>
        <w:t>» исключить</w:t>
      </w:r>
      <w:r w:rsidR="00C74A9C" w:rsidRPr="00C0657F">
        <w:rPr>
          <w:color w:val="000000" w:themeColor="text1"/>
          <w:sz w:val="22"/>
          <w:szCs w:val="22"/>
          <w:lang w:val="ru-MD" w:eastAsia="ro-MD"/>
        </w:rPr>
        <w:t xml:space="preserve">, </w:t>
      </w:r>
      <w:r w:rsidR="001A13E1" w:rsidRPr="00C0657F">
        <w:rPr>
          <w:color w:val="000000" w:themeColor="text1"/>
          <w:sz w:val="22"/>
          <w:szCs w:val="22"/>
          <w:lang w:val="ru-MD" w:eastAsia="ro-MD"/>
        </w:rPr>
        <w:t xml:space="preserve">а после слова «банки» дополнить текстом </w:t>
      </w:r>
      <w:proofErr w:type="gramStart"/>
      <w:r w:rsidR="00C0657F" w:rsidRPr="00C0657F">
        <w:rPr>
          <w:color w:val="000000" w:themeColor="text1"/>
          <w:sz w:val="22"/>
          <w:szCs w:val="22"/>
          <w:lang w:val="ru-MD" w:eastAsia="ro-MD"/>
        </w:rPr>
        <w:t xml:space="preserve">«, </w:t>
      </w:r>
      <w:r w:rsidR="00C74A9C" w:rsidRPr="00C0657F">
        <w:rPr>
          <w:color w:val="000000" w:themeColor="text1"/>
          <w:sz w:val="22"/>
          <w:szCs w:val="22"/>
          <w:lang w:val="ru-MD" w:eastAsia="ro-MD"/>
        </w:rPr>
        <w:t xml:space="preserve"> </w:t>
      </w:r>
      <w:r w:rsidR="00C0657F" w:rsidRPr="00C0657F">
        <w:rPr>
          <w:color w:val="000000" w:themeColor="text1"/>
          <w:sz w:val="22"/>
          <w:szCs w:val="22"/>
          <w:lang w:val="ru-MD" w:eastAsia="ro-MD"/>
        </w:rPr>
        <w:t>которые</w:t>
      </w:r>
      <w:proofErr w:type="gramEnd"/>
      <w:r w:rsidR="00C0657F" w:rsidRPr="00C0657F">
        <w:rPr>
          <w:color w:val="000000" w:themeColor="text1"/>
          <w:sz w:val="22"/>
          <w:szCs w:val="22"/>
          <w:lang w:val="ru-MD" w:eastAsia="ro-MD"/>
        </w:rPr>
        <w:t xml:space="preserve"> используют подход внутренней модели для учета кредитного риска контрагента</w:t>
      </w:r>
      <w:r w:rsidR="00C74A9C" w:rsidRPr="00C0657F">
        <w:rPr>
          <w:color w:val="000000" w:themeColor="text1"/>
          <w:sz w:val="22"/>
          <w:szCs w:val="22"/>
          <w:lang w:val="ru-MD" w:eastAsia="ro-MD"/>
        </w:rPr>
        <w:t>,</w:t>
      </w:r>
      <w:r w:rsidR="00C0657F" w:rsidRPr="00C0657F">
        <w:rPr>
          <w:color w:val="000000" w:themeColor="text1"/>
          <w:sz w:val="22"/>
          <w:szCs w:val="22"/>
          <w:lang w:val="ru-MD" w:eastAsia="ro-MD"/>
        </w:rPr>
        <w:t>»</w:t>
      </w:r>
      <w:r w:rsidR="00C74A9C" w:rsidRPr="00C0657F">
        <w:rPr>
          <w:color w:val="000000" w:themeColor="text1"/>
          <w:sz w:val="22"/>
          <w:szCs w:val="22"/>
          <w:lang w:val="ru-MD" w:eastAsia="ro-MD"/>
        </w:rPr>
        <w:t>.</w:t>
      </w:r>
    </w:p>
    <w:p w14:paraId="01A897F1" w14:textId="75F4613D" w:rsidR="006551C5" w:rsidRPr="00884D1F" w:rsidRDefault="00647BF7"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eastAsia="ro-MD"/>
        </w:rPr>
        <w:t>Пункт</w:t>
      </w:r>
      <w:r w:rsidRPr="00884D1F">
        <w:rPr>
          <w:color w:val="000000" w:themeColor="text1"/>
          <w:sz w:val="22"/>
          <w:szCs w:val="22"/>
          <w:lang w:val="ro-RO" w:eastAsia="ro-MD"/>
        </w:rPr>
        <w:t xml:space="preserve"> </w:t>
      </w:r>
      <w:r>
        <w:rPr>
          <w:color w:val="000000" w:themeColor="text1"/>
          <w:sz w:val="22"/>
          <w:szCs w:val="22"/>
          <w:lang w:val="ru-RU" w:eastAsia="ro-MD"/>
        </w:rPr>
        <w:t>91</w:t>
      </w:r>
      <w:r w:rsidRPr="00884D1F">
        <w:rPr>
          <w:color w:val="000000" w:themeColor="text1"/>
          <w:sz w:val="22"/>
          <w:szCs w:val="22"/>
          <w:lang w:val="ro-RO" w:eastAsia="ro-MD"/>
        </w:rPr>
        <w:t xml:space="preserve"> </w:t>
      </w:r>
      <w:r>
        <w:rPr>
          <w:color w:val="000000" w:themeColor="text1"/>
          <w:sz w:val="22"/>
          <w:szCs w:val="22"/>
          <w:lang w:val="ru-RU" w:eastAsia="ro-MD"/>
        </w:rPr>
        <w:t>изложить в следующей редакции</w:t>
      </w:r>
      <w:r w:rsidR="00C74A9C" w:rsidRPr="00884D1F">
        <w:rPr>
          <w:color w:val="000000" w:themeColor="text1"/>
          <w:sz w:val="22"/>
          <w:szCs w:val="22"/>
          <w:lang w:val="ro-MD"/>
        </w:rPr>
        <w:t>:</w:t>
      </w:r>
    </w:p>
    <w:p w14:paraId="7060865A" w14:textId="15E72607" w:rsidR="00C74A9C" w:rsidRPr="00D879BF" w:rsidRDefault="00E82EDC" w:rsidP="00C74A9C">
      <w:pPr>
        <w:jc w:val="both"/>
        <w:rPr>
          <w:color w:val="000000" w:themeColor="text1"/>
          <w:sz w:val="22"/>
          <w:szCs w:val="22"/>
          <w:lang w:val="ru-MD" w:eastAsia="ro-MD"/>
        </w:rPr>
      </w:pPr>
      <w:r w:rsidRPr="00D879BF">
        <w:rPr>
          <w:b/>
          <w:bCs/>
          <w:color w:val="000000" w:themeColor="text1"/>
          <w:sz w:val="22"/>
          <w:szCs w:val="22"/>
          <w:lang w:val="ru-MD" w:eastAsia="ro-MD"/>
        </w:rPr>
        <w:lastRenderedPageBreak/>
        <w:t>«</w:t>
      </w:r>
      <w:r w:rsidR="00C74A9C" w:rsidRPr="00D879BF">
        <w:rPr>
          <w:b/>
          <w:bCs/>
          <w:color w:val="000000" w:themeColor="text1"/>
          <w:sz w:val="22"/>
          <w:szCs w:val="22"/>
          <w:lang w:val="ru-MD" w:eastAsia="ro-MD"/>
        </w:rPr>
        <w:t>91.</w:t>
      </w:r>
      <w:r w:rsidR="00C74A9C" w:rsidRPr="00D879BF">
        <w:rPr>
          <w:color w:val="000000" w:themeColor="text1"/>
          <w:sz w:val="22"/>
          <w:szCs w:val="22"/>
          <w:lang w:val="ru-MD" w:eastAsia="ro-MD"/>
        </w:rPr>
        <w:t xml:space="preserve"> </w:t>
      </w:r>
      <w:r w:rsidR="00F0021E" w:rsidRPr="00D879BF">
        <w:rPr>
          <w:sz w:val="22"/>
          <w:szCs w:val="22"/>
          <w:lang w:val="ru-MD" w:eastAsia="ro-MD"/>
        </w:rPr>
        <w:t>В целях расчета стоимости E, указанной в пункте 90</w:t>
      </w:r>
      <w:r w:rsidR="00C74A9C" w:rsidRPr="00D879BF">
        <w:rPr>
          <w:color w:val="000000" w:themeColor="text1"/>
          <w:sz w:val="22"/>
          <w:szCs w:val="22"/>
          <w:lang w:val="ru-MD" w:eastAsia="ro-MD"/>
        </w:rPr>
        <w:t xml:space="preserve">, </w:t>
      </w:r>
      <w:r w:rsidR="00F0021E" w:rsidRPr="00D879BF">
        <w:rPr>
          <w:color w:val="000000" w:themeColor="text1"/>
          <w:sz w:val="22"/>
          <w:szCs w:val="22"/>
          <w:lang w:val="ru-MD" w:eastAsia="ro-MD"/>
        </w:rPr>
        <w:t>применяется следу</w:t>
      </w:r>
      <w:r w:rsidR="00D879BF">
        <w:rPr>
          <w:color w:val="000000" w:themeColor="text1"/>
          <w:sz w:val="22"/>
          <w:szCs w:val="22"/>
          <w:lang w:val="ru-MD" w:eastAsia="ro-MD"/>
        </w:rPr>
        <w:t>ю</w:t>
      </w:r>
      <w:r w:rsidR="00F0021E" w:rsidRPr="00D879BF">
        <w:rPr>
          <w:color w:val="000000" w:themeColor="text1"/>
          <w:sz w:val="22"/>
          <w:szCs w:val="22"/>
          <w:lang w:val="ru-MD" w:eastAsia="ro-MD"/>
        </w:rPr>
        <w:t>щее</w:t>
      </w:r>
      <w:r w:rsidR="00C74A9C" w:rsidRPr="00D879BF">
        <w:rPr>
          <w:color w:val="000000" w:themeColor="text1"/>
          <w:sz w:val="22"/>
          <w:szCs w:val="22"/>
          <w:lang w:val="ru-MD" w:eastAsia="ro-MD"/>
        </w:rPr>
        <w:t>:</w:t>
      </w:r>
    </w:p>
    <w:p w14:paraId="420F310B" w14:textId="7531E33A" w:rsidR="00C74A9C" w:rsidRPr="00D879BF" w:rsidRDefault="00C74A9C" w:rsidP="00C74A9C">
      <w:pPr>
        <w:ind w:firstLine="567"/>
        <w:jc w:val="both"/>
        <w:rPr>
          <w:color w:val="000000" w:themeColor="text1"/>
          <w:sz w:val="22"/>
          <w:szCs w:val="22"/>
          <w:lang w:val="ru-MD" w:eastAsia="ro-MD"/>
        </w:rPr>
      </w:pPr>
      <w:r w:rsidRPr="00D879BF">
        <w:rPr>
          <w:color w:val="000000" w:themeColor="text1"/>
          <w:sz w:val="22"/>
          <w:szCs w:val="22"/>
          <w:lang w:val="ru-MD" w:eastAsia="ro-MD"/>
        </w:rPr>
        <w:t xml:space="preserve">1) </w:t>
      </w:r>
      <w:r w:rsidR="00D879BF" w:rsidRPr="00D879BF">
        <w:rPr>
          <w:color w:val="000000" w:themeColor="text1"/>
          <w:sz w:val="22"/>
          <w:szCs w:val="22"/>
          <w:lang w:val="ru-MD" w:eastAsia="ro-MD"/>
        </w:rPr>
        <w:t>для банков, рассчитывающих взвешенные по риску суммы подверженностей в соответствии со стандартизированным подходом, стоимость подверженности внебалансового элемента, указанного в Постановлении № 111/2018, должно составлять 100% от стоимости соответствующего элемента, а не стоимостью подверженности, указанной в вышеназванном нормативном акте</w:t>
      </w:r>
      <w:r w:rsidRPr="00D879BF">
        <w:rPr>
          <w:color w:val="000000" w:themeColor="text1"/>
          <w:sz w:val="22"/>
          <w:szCs w:val="22"/>
          <w:lang w:val="ru-MD" w:eastAsia="ro-MD"/>
        </w:rPr>
        <w:t>;</w:t>
      </w:r>
    </w:p>
    <w:p w14:paraId="7919C7C7" w14:textId="24E6919A" w:rsidR="00C74A9C" w:rsidRPr="00D035CC" w:rsidRDefault="00C74A9C" w:rsidP="00C74A9C">
      <w:pPr>
        <w:tabs>
          <w:tab w:val="left" w:pos="567"/>
        </w:tabs>
        <w:ind w:firstLine="567"/>
        <w:jc w:val="both"/>
        <w:rPr>
          <w:color w:val="000000" w:themeColor="text1"/>
          <w:sz w:val="22"/>
          <w:szCs w:val="22"/>
          <w:lang w:val="ru-MD"/>
        </w:rPr>
      </w:pPr>
      <w:r w:rsidRPr="00D035CC">
        <w:rPr>
          <w:color w:val="000000" w:themeColor="text1"/>
          <w:sz w:val="22"/>
          <w:szCs w:val="22"/>
          <w:lang w:val="ru-MD" w:eastAsia="ro-MD"/>
        </w:rPr>
        <w:t xml:space="preserve">2) </w:t>
      </w:r>
      <w:r w:rsidR="004F49B4" w:rsidRPr="00D035CC">
        <w:rPr>
          <w:color w:val="000000" w:themeColor="text1"/>
          <w:sz w:val="22"/>
          <w:szCs w:val="22"/>
          <w:lang w:val="ru-MD" w:eastAsia="ro-MD"/>
        </w:rPr>
        <w:t>для внебалансовых элементов, за исключением производных инструментов, рассматриваемых в рамках подхода IRB, банки рассчитывают стоимость своих подверженностей, используя 100% коэффициент конверсии (CCF) вместо CCF в рамках стандартизированного подхода или CCF в рамках подхода IRB</w:t>
      </w:r>
      <w:r w:rsidRPr="00D035CC">
        <w:rPr>
          <w:color w:val="000000" w:themeColor="text1"/>
          <w:sz w:val="22"/>
          <w:szCs w:val="22"/>
          <w:lang w:val="ru-MD" w:eastAsia="ro-MD"/>
        </w:rPr>
        <w:t>.</w:t>
      </w:r>
      <w:r w:rsidR="004F49B4" w:rsidRPr="00D035CC">
        <w:rPr>
          <w:color w:val="000000" w:themeColor="text1"/>
          <w:sz w:val="22"/>
          <w:szCs w:val="22"/>
          <w:lang w:val="ru-MD" w:eastAsia="ro-MD"/>
        </w:rPr>
        <w:t>»</w:t>
      </w:r>
      <w:r w:rsidRPr="00D035CC">
        <w:rPr>
          <w:color w:val="000000" w:themeColor="text1"/>
          <w:sz w:val="22"/>
          <w:szCs w:val="22"/>
          <w:lang w:val="ru-MD" w:eastAsia="ro-MD"/>
        </w:rPr>
        <w:t>.</w:t>
      </w:r>
    </w:p>
    <w:p w14:paraId="6DA15149" w14:textId="0D904EA4" w:rsidR="00C74A9C" w:rsidRPr="00D035CC" w:rsidRDefault="004F49B4"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D035CC">
        <w:rPr>
          <w:color w:val="000000" w:themeColor="text1"/>
          <w:sz w:val="22"/>
          <w:szCs w:val="22"/>
          <w:lang w:val="ru-MD"/>
        </w:rPr>
        <w:t xml:space="preserve">Дополнить пунктом </w:t>
      </w:r>
      <w:r w:rsidR="0091180D" w:rsidRPr="00D035CC">
        <w:rPr>
          <w:color w:val="000000" w:themeColor="text1"/>
          <w:sz w:val="22"/>
          <w:szCs w:val="22"/>
          <w:lang w:val="ru-MD"/>
        </w:rPr>
        <w:t>92</w:t>
      </w:r>
      <w:r w:rsidR="0091180D" w:rsidRPr="00D035CC">
        <w:rPr>
          <w:color w:val="000000" w:themeColor="text1"/>
          <w:sz w:val="22"/>
          <w:szCs w:val="22"/>
          <w:vertAlign w:val="superscript"/>
          <w:lang w:val="ru-MD"/>
        </w:rPr>
        <w:t>1</w:t>
      </w:r>
      <w:r w:rsidR="0091180D" w:rsidRPr="00D035CC">
        <w:rPr>
          <w:color w:val="000000" w:themeColor="text1"/>
          <w:sz w:val="22"/>
          <w:szCs w:val="22"/>
          <w:lang w:val="ru-MD"/>
        </w:rPr>
        <w:t xml:space="preserve"> </w:t>
      </w:r>
      <w:r w:rsidRPr="00D035CC">
        <w:rPr>
          <w:color w:val="000000" w:themeColor="text1"/>
          <w:sz w:val="22"/>
          <w:szCs w:val="22"/>
          <w:lang w:val="ru-MD"/>
        </w:rPr>
        <w:t>следующего содержания</w:t>
      </w:r>
      <w:r w:rsidR="0091180D" w:rsidRPr="00D035CC">
        <w:rPr>
          <w:color w:val="000000" w:themeColor="text1"/>
          <w:sz w:val="22"/>
          <w:szCs w:val="22"/>
          <w:lang w:val="ru-MD"/>
        </w:rPr>
        <w:t>:</w:t>
      </w:r>
    </w:p>
    <w:p w14:paraId="16A04623" w14:textId="1854F038" w:rsidR="0091180D" w:rsidRPr="00D035CC" w:rsidRDefault="00B94FC6" w:rsidP="00483623">
      <w:pPr>
        <w:tabs>
          <w:tab w:val="left" w:pos="567"/>
        </w:tabs>
        <w:jc w:val="both"/>
        <w:rPr>
          <w:color w:val="000000" w:themeColor="text1"/>
          <w:sz w:val="22"/>
          <w:szCs w:val="22"/>
          <w:lang w:val="ru-MD"/>
        </w:rPr>
      </w:pPr>
      <w:r w:rsidRPr="00D035CC">
        <w:rPr>
          <w:b/>
          <w:bCs/>
          <w:color w:val="000000" w:themeColor="text1"/>
          <w:sz w:val="22"/>
          <w:szCs w:val="22"/>
          <w:lang w:val="ru-MD" w:eastAsia="ro-MD"/>
        </w:rPr>
        <w:t>«</w:t>
      </w:r>
      <w:r w:rsidR="002B418E" w:rsidRPr="00D035CC">
        <w:rPr>
          <w:b/>
          <w:bCs/>
          <w:color w:val="000000" w:themeColor="text1"/>
          <w:sz w:val="22"/>
          <w:szCs w:val="22"/>
          <w:lang w:val="ru-MD" w:eastAsia="ro-MD"/>
        </w:rPr>
        <w:t>92</w:t>
      </w:r>
      <w:r w:rsidR="002B418E" w:rsidRPr="00D035CC">
        <w:rPr>
          <w:b/>
          <w:bCs/>
          <w:color w:val="000000" w:themeColor="text1"/>
          <w:sz w:val="22"/>
          <w:szCs w:val="22"/>
          <w:vertAlign w:val="superscript"/>
          <w:lang w:val="ru-MD" w:eastAsia="ro-MD"/>
        </w:rPr>
        <w:t>1</w:t>
      </w:r>
      <w:r w:rsidR="002B418E" w:rsidRPr="00D035CC">
        <w:rPr>
          <w:b/>
          <w:bCs/>
          <w:color w:val="000000" w:themeColor="text1"/>
          <w:sz w:val="22"/>
          <w:szCs w:val="22"/>
          <w:lang w:val="ru-MD" w:eastAsia="ro-MD"/>
        </w:rPr>
        <w:t>.</w:t>
      </w:r>
      <w:r w:rsidR="002B418E" w:rsidRPr="00D035CC">
        <w:rPr>
          <w:color w:val="000000" w:themeColor="text1"/>
          <w:sz w:val="22"/>
          <w:szCs w:val="22"/>
          <w:lang w:val="ru-MD" w:eastAsia="ro-MD"/>
        </w:rPr>
        <w:t xml:space="preserve"> </w:t>
      </w:r>
      <w:r w:rsidR="00D035CC" w:rsidRPr="00D035CC">
        <w:rPr>
          <w:color w:val="000000" w:themeColor="text1"/>
          <w:sz w:val="22"/>
          <w:szCs w:val="22"/>
          <w:lang w:val="ru-MD" w:eastAsia="ro-MD"/>
        </w:rPr>
        <w:t>В случае внебиржевых сделок с производными финансовыми инструментами банки, использующие стандартизированный подход, упрощенный стандартизированный подход и метод первоначальной подверженности, предусмотренные Регламентом № 220/2025, должны учитывать снижающие риск эффекты реального обеспечения в соответствии с положениями, изложенными в Регламенте № 220/2025, главах III, IV и V, в зависимости от обстоятельств.».</w:t>
      </w:r>
    </w:p>
    <w:p w14:paraId="69BC5A4D" w14:textId="3BCC5607" w:rsidR="008A1582" w:rsidRPr="00884D1F" w:rsidRDefault="00D035CC" w:rsidP="008A1582">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 пункте</w:t>
      </w:r>
      <w:r w:rsidR="008A1582" w:rsidRPr="00884D1F">
        <w:rPr>
          <w:color w:val="000000" w:themeColor="text1"/>
          <w:sz w:val="22"/>
          <w:szCs w:val="22"/>
          <w:lang w:val="ro-MD"/>
        </w:rPr>
        <w:t xml:space="preserve"> 95:</w:t>
      </w:r>
    </w:p>
    <w:p w14:paraId="2BB52932" w14:textId="18A4DB70" w:rsidR="008A1582" w:rsidRPr="00D035CC" w:rsidRDefault="004F72C3" w:rsidP="00CB36D2">
      <w:pPr>
        <w:pStyle w:val="ListParagraph"/>
        <w:numPr>
          <w:ilvl w:val="2"/>
          <w:numId w:val="27"/>
        </w:numPr>
        <w:tabs>
          <w:tab w:val="left" w:pos="567"/>
        </w:tabs>
        <w:spacing w:before="80"/>
        <w:ind w:left="0" w:firstLine="567"/>
        <w:contextualSpacing w:val="0"/>
        <w:jc w:val="both"/>
        <w:rPr>
          <w:color w:val="000000" w:themeColor="text1"/>
          <w:sz w:val="22"/>
          <w:szCs w:val="22"/>
          <w:lang w:val="ru-RU"/>
        </w:rPr>
      </w:pPr>
      <w:r w:rsidRPr="00D035CC">
        <w:rPr>
          <w:color w:val="000000" w:themeColor="text1"/>
          <w:sz w:val="22"/>
          <w:szCs w:val="22"/>
          <w:lang w:val="ru-RU"/>
        </w:rPr>
        <w:t xml:space="preserve">таблицу </w:t>
      </w:r>
      <w:r w:rsidR="00D035CC" w:rsidRPr="00D035CC">
        <w:rPr>
          <w:color w:val="000000" w:themeColor="text1"/>
          <w:sz w:val="22"/>
          <w:szCs w:val="22"/>
          <w:lang w:val="ru-RU"/>
        </w:rPr>
        <w:t xml:space="preserve">№ </w:t>
      </w:r>
      <w:r w:rsidR="008A1582" w:rsidRPr="00D035CC">
        <w:rPr>
          <w:color w:val="000000" w:themeColor="text1"/>
          <w:sz w:val="22"/>
          <w:szCs w:val="22"/>
          <w:lang w:val="ru-RU"/>
        </w:rPr>
        <w:t xml:space="preserve">1 </w:t>
      </w:r>
      <w:r w:rsidR="00D035CC" w:rsidRPr="00D035CC">
        <w:rPr>
          <w:color w:val="000000" w:themeColor="text1"/>
          <w:sz w:val="22"/>
          <w:szCs w:val="22"/>
          <w:lang w:val="ru-RU" w:eastAsia="ro-MD"/>
        </w:rPr>
        <w:t>изложить в следующей редакции</w:t>
      </w:r>
      <w:r w:rsidR="008A1582" w:rsidRPr="00D035CC">
        <w:rPr>
          <w:color w:val="000000" w:themeColor="text1"/>
          <w:sz w:val="22"/>
          <w:szCs w:val="22"/>
          <w:lang w:val="ru-RU"/>
        </w:rPr>
        <w:t>:</w:t>
      </w:r>
    </w:p>
    <w:p w14:paraId="7326D3BC" w14:textId="3346564C" w:rsidR="004270DC" w:rsidRPr="00D035CC" w:rsidRDefault="00D035CC" w:rsidP="004270DC">
      <w:pPr>
        <w:jc w:val="right"/>
        <w:rPr>
          <w:b/>
          <w:bCs/>
          <w:color w:val="000000" w:themeColor="text1"/>
          <w:sz w:val="22"/>
          <w:szCs w:val="22"/>
          <w:lang w:val="ro-RO" w:eastAsia="ro-MD"/>
        </w:rPr>
      </w:pPr>
      <w:r w:rsidRPr="00D035CC">
        <w:rPr>
          <w:b/>
          <w:bCs/>
          <w:color w:val="000000" w:themeColor="text1"/>
          <w:sz w:val="22"/>
          <w:szCs w:val="22"/>
          <w:lang w:val="ru-RU"/>
        </w:rPr>
        <w:t>«Таблица № 1</w:t>
      </w:r>
    </w:p>
    <w:tbl>
      <w:tblPr>
        <w:tblW w:w="5000" w:type="pct"/>
        <w:jc w:val="center"/>
        <w:tblCellMar>
          <w:top w:w="15" w:type="dxa"/>
          <w:left w:w="15" w:type="dxa"/>
          <w:bottom w:w="15" w:type="dxa"/>
          <w:right w:w="15" w:type="dxa"/>
        </w:tblCellMar>
        <w:tblLook w:val="04A0" w:firstRow="1" w:lastRow="0" w:firstColumn="1" w:lastColumn="0" w:noHBand="0" w:noVBand="1"/>
      </w:tblPr>
      <w:tblGrid>
        <w:gridCol w:w="1330"/>
        <w:gridCol w:w="1123"/>
        <w:gridCol w:w="804"/>
        <w:gridCol w:w="804"/>
        <w:gridCol w:w="804"/>
        <w:gridCol w:w="804"/>
        <w:gridCol w:w="804"/>
        <w:gridCol w:w="804"/>
        <w:gridCol w:w="804"/>
        <w:gridCol w:w="804"/>
        <w:gridCol w:w="804"/>
      </w:tblGrid>
      <w:tr w:rsidR="000B2CBE" w:rsidRPr="00884D1F" w14:paraId="1424FB2A" w14:textId="77777777" w:rsidTr="000773D3">
        <w:trPr>
          <w:gridAfter w:val="10"/>
          <w:jc w:val="center"/>
        </w:trPr>
        <w:tc>
          <w:tcPr>
            <w:tcW w:w="0" w:type="auto"/>
            <w:tcBorders>
              <w:top w:val="nil"/>
              <w:left w:val="nil"/>
              <w:bottom w:val="single" w:sz="6" w:space="0" w:color="000000"/>
              <w:right w:val="nil"/>
            </w:tcBorders>
            <w:tcMar>
              <w:top w:w="24" w:type="dxa"/>
              <w:left w:w="48" w:type="dxa"/>
              <w:bottom w:w="24" w:type="dxa"/>
              <w:right w:w="48" w:type="dxa"/>
            </w:tcMar>
            <w:hideMark/>
          </w:tcPr>
          <w:p w14:paraId="3395C7F6" w14:textId="77777777" w:rsidR="004270DC" w:rsidRPr="00884D1F" w:rsidRDefault="004270DC" w:rsidP="000773D3">
            <w:pPr>
              <w:jc w:val="right"/>
              <w:rPr>
                <w:color w:val="000000" w:themeColor="text1"/>
                <w:sz w:val="22"/>
                <w:szCs w:val="22"/>
                <w:lang w:val="ro-RO" w:eastAsia="ro-MD"/>
              </w:rPr>
            </w:pPr>
            <w:r w:rsidRPr="00884D1F">
              <w:rPr>
                <w:color w:val="000000" w:themeColor="text1"/>
                <w:sz w:val="22"/>
                <w:szCs w:val="22"/>
                <w:lang w:val="ro-RO" w:eastAsia="ro-MD"/>
              </w:rPr>
              <w:t>  </w:t>
            </w:r>
          </w:p>
        </w:tc>
      </w:tr>
      <w:tr w:rsidR="00C74819" w:rsidRPr="007544BA" w14:paraId="6525C0E7"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69C44915" w14:textId="01AF1F57" w:rsidR="00C74819" w:rsidRPr="00762CA8" w:rsidRDefault="00C74819" w:rsidP="00C74819">
            <w:pPr>
              <w:spacing w:before="60" w:after="60" w:line="312" w:lineRule="atLeast"/>
              <w:jc w:val="both"/>
              <w:rPr>
                <w:b/>
                <w:bCs/>
                <w:color w:val="000000" w:themeColor="text1"/>
                <w:sz w:val="22"/>
                <w:szCs w:val="22"/>
                <w:lang w:val="ru-MD" w:eastAsia="ro-MD"/>
              </w:rPr>
            </w:pPr>
            <w:r w:rsidRPr="00762CA8">
              <w:rPr>
                <w:b/>
                <w:bCs/>
                <w:lang w:val="ru-MD" w:eastAsia="ro-MD"/>
              </w:rPr>
              <w:t>Уровень качества кредита, с которым ассоциируется оценка кредита для долговой ценной бумаги</w:t>
            </w:r>
          </w:p>
        </w:tc>
        <w:tc>
          <w:tcPr>
            <w:tcW w:w="0" w:type="auto"/>
            <w:tcBorders>
              <w:top w:val="outset" w:sz="6" w:space="0" w:color="auto"/>
              <w:left w:val="outset" w:sz="6" w:space="0" w:color="auto"/>
              <w:bottom w:val="outset" w:sz="6" w:space="0" w:color="auto"/>
              <w:right w:val="outset" w:sz="6" w:space="0" w:color="auto"/>
            </w:tcBorders>
            <w:hideMark/>
          </w:tcPr>
          <w:p w14:paraId="2A3487C4" w14:textId="29E3256E" w:rsidR="00C74819" w:rsidRPr="00762CA8" w:rsidRDefault="00C74819" w:rsidP="00C74819">
            <w:pPr>
              <w:spacing w:before="60" w:after="60" w:line="312" w:lineRule="atLeast"/>
              <w:jc w:val="both"/>
              <w:rPr>
                <w:b/>
                <w:bCs/>
                <w:color w:val="000000" w:themeColor="text1"/>
                <w:sz w:val="22"/>
                <w:szCs w:val="22"/>
                <w:lang w:val="ru-MD" w:eastAsia="ro-MD"/>
              </w:rPr>
            </w:pPr>
            <w:r w:rsidRPr="00762CA8">
              <w:rPr>
                <w:b/>
                <w:bCs/>
                <w:color w:val="000000" w:themeColor="text1"/>
                <w:sz w:val="22"/>
                <w:szCs w:val="22"/>
                <w:lang w:val="ru-MD" w:eastAsia="ro-MD"/>
              </w:rPr>
              <w:t>Остаточный срок погашения (м), выраженный в годах</w:t>
            </w:r>
          </w:p>
        </w:tc>
        <w:tc>
          <w:tcPr>
            <w:tcW w:w="0" w:type="auto"/>
            <w:gridSpan w:val="3"/>
            <w:tcBorders>
              <w:top w:val="outset" w:sz="6" w:space="0" w:color="auto"/>
              <w:left w:val="outset" w:sz="6" w:space="0" w:color="auto"/>
              <w:bottom w:val="outset" w:sz="6" w:space="0" w:color="auto"/>
              <w:right w:val="outset" w:sz="6" w:space="0" w:color="auto"/>
            </w:tcBorders>
            <w:hideMark/>
          </w:tcPr>
          <w:p w14:paraId="3C493B93" w14:textId="03EC8FA7" w:rsidR="00C74819" w:rsidRPr="00762CA8" w:rsidRDefault="00C74819" w:rsidP="00C74819">
            <w:pPr>
              <w:spacing w:before="60" w:after="60" w:line="312" w:lineRule="atLeast"/>
              <w:jc w:val="both"/>
              <w:rPr>
                <w:b/>
                <w:bCs/>
                <w:color w:val="000000" w:themeColor="text1"/>
                <w:sz w:val="22"/>
                <w:szCs w:val="22"/>
                <w:lang w:val="ru-MD" w:eastAsia="ro-MD"/>
              </w:rPr>
            </w:pPr>
            <w:r w:rsidRPr="00762CA8">
              <w:rPr>
                <w:b/>
                <w:bCs/>
                <w:lang w:val="ru-MD" w:eastAsia="ro-MD"/>
              </w:rPr>
              <w:t>Корректировки волатильности для долговых ценных бумаг, выпущенных субъектами, описанными в подпунктах 2) и 3) пункта 25</w:t>
            </w:r>
          </w:p>
        </w:tc>
        <w:tc>
          <w:tcPr>
            <w:tcW w:w="0" w:type="auto"/>
            <w:gridSpan w:val="3"/>
            <w:tcBorders>
              <w:top w:val="outset" w:sz="6" w:space="0" w:color="auto"/>
              <w:left w:val="outset" w:sz="6" w:space="0" w:color="auto"/>
              <w:bottom w:val="outset" w:sz="6" w:space="0" w:color="auto"/>
              <w:right w:val="outset" w:sz="6" w:space="0" w:color="auto"/>
            </w:tcBorders>
            <w:hideMark/>
          </w:tcPr>
          <w:p w14:paraId="607F5A48" w14:textId="414B5C2F" w:rsidR="00C74819" w:rsidRPr="00762CA8" w:rsidRDefault="00C74819" w:rsidP="00C74819">
            <w:pPr>
              <w:spacing w:before="60" w:after="60" w:line="312" w:lineRule="atLeast"/>
              <w:jc w:val="both"/>
              <w:rPr>
                <w:b/>
                <w:bCs/>
                <w:color w:val="000000" w:themeColor="text1"/>
                <w:sz w:val="22"/>
                <w:szCs w:val="22"/>
                <w:lang w:val="ru-MD" w:eastAsia="ro-MD"/>
              </w:rPr>
            </w:pPr>
            <w:r w:rsidRPr="00762CA8">
              <w:rPr>
                <w:b/>
                <w:bCs/>
                <w:lang w:val="ru-MD" w:eastAsia="ro-MD"/>
              </w:rPr>
              <w:t>Корректировки волатильности для долговых ценных бумаг, выпущенных субъектами, описанными в подпунктах 4) и 5) пункта 25</w:t>
            </w:r>
          </w:p>
        </w:tc>
        <w:tc>
          <w:tcPr>
            <w:tcW w:w="0" w:type="auto"/>
            <w:gridSpan w:val="3"/>
            <w:tcBorders>
              <w:top w:val="outset" w:sz="6" w:space="0" w:color="auto"/>
              <w:left w:val="outset" w:sz="6" w:space="0" w:color="auto"/>
              <w:bottom w:val="outset" w:sz="6" w:space="0" w:color="auto"/>
              <w:right w:val="outset" w:sz="6" w:space="0" w:color="auto"/>
            </w:tcBorders>
            <w:hideMark/>
          </w:tcPr>
          <w:p w14:paraId="10B75ADE" w14:textId="302C9930" w:rsidR="00C74819" w:rsidRPr="00762CA8" w:rsidRDefault="00762CA8" w:rsidP="00C74819">
            <w:pPr>
              <w:spacing w:before="60" w:after="60" w:line="312" w:lineRule="atLeast"/>
              <w:jc w:val="both"/>
              <w:rPr>
                <w:b/>
                <w:bCs/>
                <w:color w:val="000000" w:themeColor="text1"/>
                <w:sz w:val="22"/>
                <w:szCs w:val="22"/>
                <w:lang w:val="ru-MD" w:eastAsia="ro-MD"/>
              </w:rPr>
            </w:pPr>
            <w:r w:rsidRPr="00762CA8">
              <w:rPr>
                <w:b/>
                <w:bCs/>
                <w:color w:val="000000" w:themeColor="text1"/>
                <w:sz w:val="22"/>
                <w:szCs w:val="22"/>
                <w:lang w:val="ru-MD" w:eastAsia="ro-MD"/>
              </w:rPr>
              <w:t>Корректировки волатильности для позиций секьюритизации, соответствующих критериям, изложенным в подпункте 9) пункта 25</w:t>
            </w:r>
          </w:p>
        </w:tc>
      </w:tr>
      <w:tr w:rsidR="001E52DF" w:rsidRPr="00884D1F" w14:paraId="5040A8D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746637FB" w14:textId="77777777" w:rsidR="001E52DF" w:rsidRPr="00884D1F" w:rsidRDefault="001E52DF" w:rsidP="001E52DF">
            <w:pPr>
              <w:spacing w:line="312" w:lineRule="atLeast"/>
              <w:rPr>
                <w:b/>
                <w:bCs/>
                <w:color w:val="000000" w:themeColor="text1"/>
                <w:sz w:val="22"/>
                <w:szCs w:val="22"/>
                <w:lang w:val="ro-RO" w:eastAsia="ro-MD"/>
              </w:rPr>
            </w:pPr>
            <w:r w:rsidRPr="00884D1F">
              <w:rPr>
                <w:b/>
                <w:bCs/>
                <w:color w:val="000000" w:themeColor="text1"/>
                <w:sz w:val="22"/>
                <w:szCs w:val="22"/>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107E7EC3" w14:textId="77777777" w:rsidR="001E52DF" w:rsidRPr="00884D1F" w:rsidRDefault="001E52DF" w:rsidP="001E52DF">
            <w:pPr>
              <w:spacing w:line="312" w:lineRule="atLeast"/>
              <w:rPr>
                <w:b/>
                <w:bCs/>
                <w:color w:val="000000" w:themeColor="text1"/>
                <w:sz w:val="22"/>
                <w:szCs w:val="22"/>
                <w:lang w:val="ro-RO" w:eastAsia="ro-MD"/>
              </w:rPr>
            </w:pPr>
            <w:r w:rsidRPr="00884D1F">
              <w:rPr>
                <w:b/>
                <w:bCs/>
                <w:color w:val="000000" w:themeColor="text1"/>
                <w:sz w:val="22"/>
                <w:szCs w:val="22"/>
                <w:lang w:val="ro-RO"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5FD1CBF0" w14:textId="727D44CE" w:rsidR="001E52DF" w:rsidRPr="001E52DF" w:rsidRDefault="001E52DF" w:rsidP="001E52DF">
            <w:pPr>
              <w:spacing w:before="60" w:after="60" w:line="312" w:lineRule="atLeast"/>
              <w:jc w:val="both"/>
              <w:rPr>
                <w:b/>
                <w:bCs/>
                <w:color w:val="000000" w:themeColor="text1"/>
                <w:sz w:val="22"/>
                <w:szCs w:val="22"/>
                <w:lang w:val="ru-RU" w:eastAsia="ro-MD"/>
              </w:rPr>
            </w:pPr>
            <w:r>
              <w:rPr>
                <w:b/>
                <w:bCs/>
                <w:color w:val="000000" w:themeColor="text1"/>
                <w:sz w:val="22"/>
                <w:szCs w:val="22"/>
                <w:lang w:val="ru-RU" w:eastAsia="ro-MD"/>
              </w:rPr>
              <w:t>Период владения 20 дней (%)</w:t>
            </w:r>
          </w:p>
        </w:tc>
        <w:tc>
          <w:tcPr>
            <w:tcW w:w="0" w:type="auto"/>
            <w:tcBorders>
              <w:top w:val="outset" w:sz="6" w:space="0" w:color="auto"/>
              <w:left w:val="outset" w:sz="6" w:space="0" w:color="auto"/>
              <w:bottom w:val="outset" w:sz="6" w:space="0" w:color="auto"/>
              <w:right w:val="outset" w:sz="6" w:space="0" w:color="auto"/>
            </w:tcBorders>
            <w:hideMark/>
          </w:tcPr>
          <w:p w14:paraId="0E89B2DF" w14:textId="58BCA4E1"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10 дней (%)</w:t>
            </w:r>
          </w:p>
        </w:tc>
        <w:tc>
          <w:tcPr>
            <w:tcW w:w="0" w:type="auto"/>
            <w:tcBorders>
              <w:top w:val="outset" w:sz="6" w:space="0" w:color="auto"/>
              <w:left w:val="outset" w:sz="6" w:space="0" w:color="auto"/>
              <w:bottom w:val="outset" w:sz="6" w:space="0" w:color="auto"/>
              <w:right w:val="outset" w:sz="6" w:space="0" w:color="auto"/>
            </w:tcBorders>
            <w:hideMark/>
          </w:tcPr>
          <w:p w14:paraId="539FD214" w14:textId="6B5FEFB6"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5 дней (%)</w:t>
            </w:r>
          </w:p>
        </w:tc>
        <w:tc>
          <w:tcPr>
            <w:tcW w:w="0" w:type="auto"/>
            <w:tcBorders>
              <w:top w:val="outset" w:sz="6" w:space="0" w:color="auto"/>
              <w:left w:val="outset" w:sz="6" w:space="0" w:color="auto"/>
              <w:bottom w:val="outset" w:sz="6" w:space="0" w:color="auto"/>
              <w:right w:val="outset" w:sz="6" w:space="0" w:color="auto"/>
            </w:tcBorders>
            <w:hideMark/>
          </w:tcPr>
          <w:p w14:paraId="354B2487" w14:textId="3A8C6AC1"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20 дней (%)</w:t>
            </w:r>
          </w:p>
        </w:tc>
        <w:tc>
          <w:tcPr>
            <w:tcW w:w="0" w:type="auto"/>
            <w:tcBorders>
              <w:top w:val="outset" w:sz="6" w:space="0" w:color="auto"/>
              <w:left w:val="outset" w:sz="6" w:space="0" w:color="auto"/>
              <w:bottom w:val="outset" w:sz="6" w:space="0" w:color="auto"/>
              <w:right w:val="outset" w:sz="6" w:space="0" w:color="auto"/>
            </w:tcBorders>
            <w:hideMark/>
          </w:tcPr>
          <w:p w14:paraId="1EC53207" w14:textId="0929E50E"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10 дней (%)</w:t>
            </w:r>
          </w:p>
        </w:tc>
        <w:tc>
          <w:tcPr>
            <w:tcW w:w="0" w:type="auto"/>
            <w:tcBorders>
              <w:top w:val="outset" w:sz="6" w:space="0" w:color="auto"/>
              <w:left w:val="outset" w:sz="6" w:space="0" w:color="auto"/>
              <w:bottom w:val="outset" w:sz="6" w:space="0" w:color="auto"/>
              <w:right w:val="outset" w:sz="6" w:space="0" w:color="auto"/>
            </w:tcBorders>
            <w:hideMark/>
          </w:tcPr>
          <w:p w14:paraId="0E1CE800" w14:textId="1DF10147"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5 дней (%)</w:t>
            </w:r>
          </w:p>
        </w:tc>
        <w:tc>
          <w:tcPr>
            <w:tcW w:w="0" w:type="auto"/>
            <w:tcBorders>
              <w:top w:val="outset" w:sz="6" w:space="0" w:color="auto"/>
              <w:left w:val="outset" w:sz="6" w:space="0" w:color="auto"/>
              <w:bottom w:val="outset" w:sz="6" w:space="0" w:color="auto"/>
              <w:right w:val="outset" w:sz="6" w:space="0" w:color="auto"/>
            </w:tcBorders>
            <w:hideMark/>
          </w:tcPr>
          <w:p w14:paraId="05FCF6FC" w14:textId="6552CC52"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20 дней (%)</w:t>
            </w:r>
          </w:p>
        </w:tc>
        <w:tc>
          <w:tcPr>
            <w:tcW w:w="0" w:type="auto"/>
            <w:tcBorders>
              <w:top w:val="outset" w:sz="6" w:space="0" w:color="auto"/>
              <w:left w:val="outset" w:sz="6" w:space="0" w:color="auto"/>
              <w:bottom w:val="outset" w:sz="6" w:space="0" w:color="auto"/>
              <w:right w:val="outset" w:sz="6" w:space="0" w:color="auto"/>
            </w:tcBorders>
            <w:hideMark/>
          </w:tcPr>
          <w:p w14:paraId="549BD0C0" w14:textId="1604BC64"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10 дней (%)</w:t>
            </w:r>
          </w:p>
        </w:tc>
        <w:tc>
          <w:tcPr>
            <w:tcW w:w="0" w:type="auto"/>
            <w:tcBorders>
              <w:top w:val="outset" w:sz="6" w:space="0" w:color="auto"/>
              <w:left w:val="outset" w:sz="6" w:space="0" w:color="auto"/>
              <w:bottom w:val="outset" w:sz="6" w:space="0" w:color="auto"/>
              <w:right w:val="outset" w:sz="6" w:space="0" w:color="auto"/>
            </w:tcBorders>
            <w:hideMark/>
          </w:tcPr>
          <w:p w14:paraId="78A44038" w14:textId="1BBDCAC3" w:rsidR="001E52DF" w:rsidRPr="00884D1F" w:rsidRDefault="001E52DF" w:rsidP="001E52DF">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5 дней (%)</w:t>
            </w:r>
          </w:p>
        </w:tc>
      </w:tr>
      <w:tr w:rsidR="000B2CBE" w:rsidRPr="00884D1F" w14:paraId="2B3498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5B99392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w:t>
            </w:r>
          </w:p>
          <w:p w14:paraId="2032AE91"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 </w:t>
            </w:r>
          </w:p>
          <w:p w14:paraId="535FADE4"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 </w:t>
            </w:r>
          </w:p>
          <w:p w14:paraId="189EED08"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 </w:t>
            </w:r>
          </w:p>
          <w:p w14:paraId="23F80048"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7C2FA2B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A82618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6E38B07"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0,5</w:t>
            </w:r>
          </w:p>
        </w:tc>
        <w:tc>
          <w:tcPr>
            <w:tcW w:w="0" w:type="auto"/>
            <w:tcBorders>
              <w:top w:val="outset" w:sz="6" w:space="0" w:color="auto"/>
              <w:left w:val="outset" w:sz="6" w:space="0" w:color="auto"/>
              <w:bottom w:val="outset" w:sz="6" w:space="0" w:color="auto"/>
              <w:right w:val="outset" w:sz="6" w:space="0" w:color="auto"/>
            </w:tcBorders>
            <w:hideMark/>
          </w:tcPr>
          <w:p w14:paraId="6259340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0,354</w:t>
            </w:r>
          </w:p>
        </w:tc>
        <w:tc>
          <w:tcPr>
            <w:tcW w:w="0" w:type="auto"/>
            <w:tcBorders>
              <w:top w:val="outset" w:sz="6" w:space="0" w:color="auto"/>
              <w:left w:val="outset" w:sz="6" w:space="0" w:color="auto"/>
              <w:bottom w:val="outset" w:sz="6" w:space="0" w:color="auto"/>
              <w:right w:val="outset" w:sz="6" w:space="0" w:color="auto"/>
            </w:tcBorders>
            <w:hideMark/>
          </w:tcPr>
          <w:p w14:paraId="132CE78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CB9EAD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437450E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6050198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BF08D6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566CE907"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w:t>
            </w:r>
          </w:p>
        </w:tc>
      </w:tr>
      <w:tr w:rsidR="000B2CBE" w:rsidRPr="00884D1F" w14:paraId="672FA54E"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BC26A08" w14:textId="77777777" w:rsidR="004270DC" w:rsidRPr="00884D1F" w:rsidRDefault="004270DC" w:rsidP="000773D3">
            <w:pPr>
              <w:spacing w:line="312" w:lineRule="atLeast"/>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0C6A7C0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6C246763"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B9F3B2C"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36ADEAB7"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49123F4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5C11731C"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2479D27D"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708CCCAA"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64948BF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31CB816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r>
      <w:tr w:rsidR="000B2CBE" w:rsidRPr="00884D1F" w14:paraId="6F22476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29E58238" w14:textId="77777777" w:rsidR="004270DC" w:rsidRPr="00884D1F" w:rsidRDefault="004270DC" w:rsidP="000773D3">
            <w:pPr>
              <w:spacing w:line="312" w:lineRule="atLeast"/>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64C172DC"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6C605DED"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48003E8A"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4C6C0E4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686C5A9C"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FDD01F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7CA04A4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C4E4376"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11,314</w:t>
            </w:r>
          </w:p>
        </w:tc>
        <w:tc>
          <w:tcPr>
            <w:tcW w:w="0" w:type="auto"/>
            <w:tcBorders>
              <w:top w:val="outset" w:sz="6" w:space="0" w:color="auto"/>
              <w:left w:val="outset" w:sz="6" w:space="0" w:color="auto"/>
              <w:bottom w:val="outset" w:sz="6" w:space="0" w:color="auto"/>
              <w:right w:val="outset" w:sz="6" w:space="0" w:color="auto"/>
            </w:tcBorders>
            <w:hideMark/>
          </w:tcPr>
          <w:p w14:paraId="517ECC3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w:t>
            </w:r>
          </w:p>
        </w:tc>
        <w:tc>
          <w:tcPr>
            <w:tcW w:w="0" w:type="auto"/>
            <w:tcBorders>
              <w:top w:val="outset" w:sz="6" w:space="0" w:color="auto"/>
              <w:left w:val="outset" w:sz="6" w:space="0" w:color="auto"/>
              <w:bottom w:val="outset" w:sz="6" w:space="0" w:color="auto"/>
              <w:right w:val="outset" w:sz="6" w:space="0" w:color="auto"/>
            </w:tcBorders>
            <w:hideMark/>
          </w:tcPr>
          <w:p w14:paraId="086D960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r>
      <w:tr w:rsidR="000B2CBE" w:rsidRPr="00884D1F" w14:paraId="45641245"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111A8D6B" w14:textId="77777777" w:rsidR="004270DC" w:rsidRPr="00884D1F" w:rsidRDefault="004270DC" w:rsidP="000773D3">
            <w:pPr>
              <w:spacing w:line="312" w:lineRule="atLeast"/>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42B00887"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764407E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2AEFC8C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BF5C25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2E2CA9B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276C65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21A3C5A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2E3886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0DF44F8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709CAB4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11,314</w:t>
            </w:r>
          </w:p>
        </w:tc>
      </w:tr>
      <w:tr w:rsidR="000B2CBE" w:rsidRPr="00884D1F" w14:paraId="78570E68"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2B1DB98F" w14:textId="77777777" w:rsidR="004270DC" w:rsidRPr="00884D1F" w:rsidRDefault="004270DC" w:rsidP="000773D3">
            <w:pPr>
              <w:spacing w:line="312" w:lineRule="atLeast"/>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2E646A4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5D4E22F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9A17E7C"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637E1976"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77A3A97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5CA9461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64F3F1E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D93C7D6"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22,627</w:t>
            </w:r>
          </w:p>
        </w:tc>
        <w:tc>
          <w:tcPr>
            <w:tcW w:w="0" w:type="auto"/>
            <w:tcBorders>
              <w:top w:val="outset" w:sz="6" w:space="0" w:color="auto"/>
              <w:left w:val="outset" w:sz="6" w:space="0" w:color="auto"/>
              <w:bottom w:val="outset" w:sz="6" w:space="0" w:color="auto"/>
              <w:right w:val="outset" w:sz="6" w:space="0" w:color="auto"/>
            </w:tcBorders>
            <w:hideMark/>
          </w:tcPr>
          <w:p w14:paraId="2966614B"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w:t>
            </w:r>
          </w:p>
        </w:tc>
        <w:tc>
          <w:tcPr>
            <w:tcW w:w="0" w:type="auto"/>
            <w:tcBorders>
              <w:top w:val="outset" w:sz="6" w:space="0" w:color="auto"/>
              <w:left w:val="outset" w:sz="6" w:space="0" w:color="auto"/>
              <w:bottom w:val="outset" w:sz="6" w:space="0" w:color="auto"/>
              <w:right w:val="outset" w:sz="6" w:space="0" w:color="auto"/>
            </w:tcBorders>
            <w:hideMark/>
          </w:tcPr>
          <w:p w14:paraId="57AF3A2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11,314</w:t>
            </w:r>
          </w:p>
        </w:tc>
      </w:tr>
      <w:tr w:rsidR="000B2CBE" w:rsidRPr="00884D1F" w14:paraId="1614DA7A"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val="restart"/>
            <w:tcBorders>
              <w:top w:val="outset" w:sz="6" w:space="0" w:color="auto"/>
              <w:left w:val="outset" w:sz="6" w:space="0" w:color="auto"/>
              <w:right w:val="outset" w:sz="6" w:space="0" w:color="auto"/>
            </w:tcBorders>
            <w:hideMark/>
          </w:tcPr>
          <w:p w14:paraId="3ED0B1FA"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lastRenderedPageBreak/>
              <w:t>2-3</w:t>
            </w:r>
          </w:p>
          <w:p w14:paraId="6748A9F2"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 </w:t>
            </w:r>
          </w:p>
          <w:p w14:paraId="69AC98DB"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 </w:t>
            </w:r>
          </w:p>
          <w:p w14:paraId="1D70F1A3"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 </w:t>
            </w:r>
          </w:p>
          <w:p w14:paraId="10F2B92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 </w:t>
            </w:r>
          </w:p>
        </w:tc>
        <w:tc>
          <w:tcPr>
            <w:tcW w:w="0" w:type="auto"/>
            <w:tcBorders>
              <w:top w:val="outset" w:sz="6" w:space="0" w:color="auto"/>
              <w:left w:val="outset" w:sz="6" w:space="0" w:color="auto"/>
              <w:bottom w:val="outset" w:sz="6" w:space="0" w:color="auto"/>
              <w:right w:val="outset" w:sz="6" w:space="0" w:color="auto"/>
            </w:tcBorders>
            <w:hideMark/>
          </w:tcPr>
          <w:p w14:paraId="4AB5FD2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m ≤ 1</w:t>
            </w:r>
          </w:p>
        </w:tc>
        <w:tc>
          <w:tcPr>
            <w:tcW w:w="0" w:type="auto"/>
            <w:tcBorders>
              <w:top w:val="outset" w:sz="6" w:space="0" w:color="auto"/>
              <w:left w:val="outset" w:sz="6" w:space="0" w:color="auto"/>
              <w:bottom w:val="outset" w:sz="6" w:space="0" w:color="auto"/>
              <w:right w:val="outset" w:sz="6" w:space="0" w:color="auto"/>
            </w:tcBorders>
            <w:hideMark/>
          </w:tcPr>
          <w:p w14:paraId="42BEE31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01BD71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w:t>
            </w:r>
          </w:p>
        </w:tc>
        <w:tc>
          <w:tcPr>
            <w:tcW w:w="0" w:type="auto"/>
            <w:tcBorders>
              <w:top w:val="outset" w:sz="6" w:space="0" w:color="auto"/>
              <w:left w:val="outset" w:sz="6" w:space="0" w:color="auto"/>
              <w:bottom w:val="outset" w:sz="6" w:space="0" w:color="auto"/>
              <w:right w:val="outset" w:sz="6" w:space="0" w:color="auto"/>
            </w:tcBorders>
            <w:hideMark/>
          </w:tcPr>
          <w:p w14:paraId="37170AA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0,707</w:t>
            </w:r>
          </w:p>
        </w:tc>
        <w:tc>
          <w:tcPr>
            <w:tcW w:w="0" w:type="auto"/>
            <w:tcBorders>
              <w:top w:val="outset" w:sz="6" w:space="0" w:color="auto"/>
              <w:left w:val="outset" w:sz="6" w:space="0" w:color="auto"/>
              <w:bottom w:val="outset" w:sz="6" w:space="0" w:color="auto"/>
              <w:right w:val="outset" w:sz="6" w:space="0" w:color="auto"/>
            </w:tcBorders>
            <w:hideMark/>
          </w:tcPr>
          <w:p w14:paraId="0A00BA8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901A62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w:t>
            </w:r>
          </w:p>
        </w:tc>
        <w:tc>
          <w:tcPr>
            <w:tcW w:w="0" w:type="auto"/>
            <w:tcBorders>
              <w:top w:val="outset" w:sz="6" w:space="0" w:color="auto"/>
              <w:left w:val="outset" w:sz="6" w:space="0" w:color="auto"/>
              <w:bottom w:val="outset" w:sz="6" w:space="0" w:color="auto"/>
              <w:right w:val="outset" w:sz="6" w:space="0" w:color="auto"/>
            </w:tcBorders>
            <w:hideMark/>
          </w:tcPr>
          <w:p w14:paraId="2F50652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w:t>
            </w:r>
          </w:p>
        </w:tc>
        <w:tc>
          <w:tcPr>
            <w:tcW w:w="0" w:type="auto"/>
            <w:tcBorders>
              <w:top w:val="outset" w:sz="6" w:space="0" w:color="auto"/>
              <w:left w:val="outset" w:sz="6" w:space="0" w:color="auto"/>
              <w:bottom w:val="outset" w:sz="6" w:space="0" w:color="auto"/>
              <w:right w:val="outset" w:sz="6" w:space="0" w:color="auto"/>
            </w:tcBorders>
            <w:hideMark/>
          </w:tcPr>
          <w:p w14:paraId="3A45AFC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1E7670D7"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40D3BD60"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r>
      <w:tr w:rsidR="000B2CBE" w:rsidRPr="00884D1F" w14:paraId="3560DE51"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390E428D" w14:textId="77777777" w:rsidR="004270DC" w:rsidRPr="00884D1F" w:rsidRDefault="004270DC" w:rsidP="000773D3">
            <w:pPr>
              <w:spacing w:before="60" w:after="60" w:line="312" w:lineRule="atLeast"/>
              <w:jc w:val="both"/>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731BF8F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 &lt; m ≤ 3</w:t>
            </w:r>
          </w:p>
        </w:tc>
        <w:tc>
          <w:tcPr>
            <w:tcW w:w="0" w:type="auto"/>
            <w:tcBorders>
              <w:top w:val="outset" w:sz="6" w:space="0" w:color="auto"/>
              <w:left w:val="outset" w:sz="6" w:space="0" w:color="auto"/>
              <w:bottom w:val="outset" w:sz="6" w:space="0" w:color="auto"/>
              <w:right w:val="outset" w:sz="6" w:space="0" w:color="auto"/>
            </w:tcBorders>
            <w:hideMark/>
          </w:tcPr>
          <w:p w14:paraId="132AB1C3"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67F248E6"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54E38F3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38F963BB"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c>
          <w:tcPr>
            <w:tcW w:w="0" w:type="auto"/>
            <w:tcBorders>
              <w:top w:val="outset" w:sz="6" w:space="0" w:color="auto"/>
              <w:left w:val="outset" w:sz="6" w:space="0" w:color="auto"/>
              <w:bottom w:val="outset" w:sz="6" w:space="0" w:color="auto"/>
              <w:right w:val="outset" w:sz="6" w:space="0" w:color="auto"/>
            </w:tcBorders>
            <w:hideMark/>
          </w:tcPr>
          <w:p w14:paraId="5273CC5B"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3F73AD9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hideMark/>
          </w:tcPr>
          <w:p w14:paraId="53D6DD8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4FD914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3EBB600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r>
      <w:tr w:rsidR="000B2CBE" w:rsidRPr="00884D1F" w14:paraId="72347E10"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03D8C1C" w14:textId="77777777" w:rsidR="004270DC" w:rsidRPr="00884D1F" w:rsidRDefault="004270DC" w:rsidP="000773D3">
            <w:pPr>
              <w:spacing w:before="60" w:after="60" w:line="312" w:lineRule="atLeast"/>
              <w:jc w:val="both"/>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34350156"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3 &lt; m ≤ 5</w:t>
            </w:r>
          </w:p>
        </w:tc>
        <w:tc>
          <w:tcPr>
            <w:tcW w:w="0" w:type="auto"/>
            <w:tcBorders>
              <w:top w:val="outset" w:sz="6" w:space="0" w:color="auto"/>
              <w:left w:val="outset" w:sz="6" w:space="0" w:color="auto"/>
              <w:bottom w:val="outset" w:sz="6" w:space="0" w:color="auto"/>
              <w:right w:val="outset" w:sz="6" w:space="0" w:color="auto"/>
            </w:tcBorders>
            <w:hideMark/>
          </w:tcPr>
          <w:p w14:paraId="7081210C"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24DDBD47"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3</w:t>
            </w:r>
          </w:p>
        </w:tc>
        <w:tc>
          <w:tcPr>
            <w:tcW w:w="0" w:type="auto"/>
            <w:tcBorders>
              <w:top w:val="outset" w:sz="6" w:space="0" w:color="auto"/>
              <w:left w:val="outset" w:sz="6" w:space="0" w:color="auto"/>
              <w:bottom w:val="outset" w:sz="6" w:space="0" w:color="auto"/>
              <w:right w:val="outset" w:sz="6" w:space="0" w:color="auto"/>
            </w:tcBorders>
            <w:hideMark/>
          </w:tcPr>
          <w:p w14:paraId="69B3004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2,121</w:t>
            </w:r>
          </w:p>
        </w:tc>
        <w:tc>
          <w:tcPr>
            <w:tcW w:w="0" w:type="auto"/>
            <w:tcBorders>
              <w:top w:val="outset" w:sz="6" w:space="0" w:color="auto"/>
              <w:left w:val="outset" w:sz="6" w:space="0" w:color="auto"/>
              <w:bottom w:val="outset" w:sz="6" w:space="0" w:color="auto"/>
              <w:right w:val="outset" w:sz="6" w:space="0" w:color="auto"/>
            </w:tcBorders>
            <w:hideMark/>
          </w:tcPr>
          <w:p w14:paraId="131E28B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70DB40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33C124F3"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13B34A0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602BE0E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0E5F1EFD"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r>
      <w:tr w:rsidR="000B2CBE" w:rsidRPr="00884D1F" w14:paraId="42E48543"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right w:val="outset" w:sz="6" w:space="0" w:color="auto"/>
            </w:tcBorders>
            <w:hideMark/>
          </w:tcPr>
          <w:p w14:paraId="62D527D1" w14:textId="77777777" w:rsidR="004270DC" w:rsidRPr="00884D1F" w:rsidRDefault="004270DC" w:rsidP="000773D3">
            <w:pPr>
              <w:spacing w:before="60" w:after="60" w:line="312" w:lineRule="atLeast"/>
              <w:jc w:val="both"/>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26656E7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 &lt; m ≤ 10</w:t>
            </w:r>
          </w:p>
        </w:tc>
        <w:tc>
          <w:tcPr>
            <w:tcW w:w="0" w:type="auto"/>
            <w:tcBorders>
              <w:top w:val="outset" w:sz="6" w:space="0" w:color="auto"/>
              <w:left w:val="outset" w:sz="6" w:space="0" w:color="auto"/>
              <w:bottom w:val="outset" w:sz="6" w:space="0" w:color="auto"/>
              <w:right w:val="outset" w:sz="6" w:space="0" w:color="auto"/>
            </w:tcBorders>
            <w:hideMark/>
          </w:tcPr>
          <w:p w14:paraId="1C4AC603"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7B9B1636"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07B00D8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0802D95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16,971</w:t>
            </w:r>
          </w:p>
        </w:tc>
        <w:tc>
          <w:tcPr>
            <w:tcW w:w="0" w:type="auto"/>
            <w:tcBorders>
              <w:top w:val="outset" w:sz="6" w:space="0" w:color="auto"/>
              <w:left w:val="outset" w:sz="6" w:space="0" w:color="auto"/>
              <w:bottom w:val="outset" w:sz="6" w:space="0" w:color="auto"/>
              <w:right w:val="outset" w:sz="6" w:space="0" w:color="auto"/>
            </w:tcBorders>
            <w:hideMark/>
          </w:tcPr>
          <w:p w14:paraId="7057CEE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12</w:t>
            </w:r>
          </w:p>
        </w:tc>
        <w:tc>
          <w:tcPr>
            <w:tcW w:w="0" w:type="auto"/>
            <w:tcBorders>
              <w:top w:val="outset" w:sz="6" w:space="0" w:color="auto"/>
              <w:left w:val="outset" w:sz="6" w:space="0" w:color="auto"/>
              <w:bottom w:val="outset" w:sz="6" w:space="0" w:color="auto"/>
              <w:right w:val="outset" w:sz="6" w:space="0" w:color="auto"/>
            </w:tcBorders>
            <w:hideMark/>
          </w:tcPr>
          <w:p w14:paraId="73A8F23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33603B43"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0DCE3DC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3C23C25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16,971</w:t>
            </w:r>
          </w:p>
        </w:tc>
      </w:tr>
      <w:tr w:rsidR="000B2CBE" w:rsidRPr="00884D1F" w14:paraId="060F10F4"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vMerge/>
            <w:tcBorders>
              <w:left w:val="outset" w:sz="6" w:space="0" w:color="auto"/>
              <w:bottom w:val="outset" w:sz="6" w:space="0" w:color="auto"/>
              <w:right w:val="outset" w:sz="6" w:space="0" w:color="auto"/>
            </w:tcBorders>
            <w:hideMark/>
          </w:tcPr>
          <w:p w14:paraId="53D93182" w14:textId="77777777" w:rsidR="004270DC" w:rsidRPr="00884D1F" w:rsidRDefault="004270DC" w:rsidP="000773D3">
            <w:pPr>
              <w:spacing w:before="60" w:after="60" w:line="312" w:lineRule="atLeast"/>
              <w:jc w:val="both"/>
              <w:rPr>
                <w:color w:val="000000" w:themeColor="text1"/>
                <w:sz w:val="22"/>
                <w:szCs w:val="22"/>
                <w:lang w:eastAsia="ro-MD"/>
              </w:rPr>
            </w:pPr>
          </w:p>
        </w:tc>
        <w:tc>
          <w:tcPr>
            <w:tcW w:w="0" w:type="auto"/>
            <w:tcBorders>
              <w:top w:val="outset" w:sz="6" w:space="0" w:color="auto"/>
              <w:left w:val="outset" w:sz="6" w:space="0" w:color="auto"/>
              <w:bottom w:val="outset" w:sz="6" w:space="0" w:color="auto"/>
              <w:right w:val="outset" w:sz="6" w:space="0" w:color="auto"/>
            </w:tcBorders>
            <w:hideMark/>
          </w:tcPr>
          <w:p w14:paraId="4E4D1DB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m &gt; 10</w:t>
            </w:r>
          </w:p>
        </w:tc>
        <w:tc>
          <w:tcPr>
            <w:tcW w:w="0" w:type="auto"/>
            <w:tcBorders>
              <w:top w:val="outset" w:sz="6" w:space="0" w:color="auto"/>
              <w:left w:val="outset" w:sz="6" w:space="0" w:color="auto"/>
              <w:bottom w:val="outset" w:sz="6" w:space="0" w:color="auto"/>
              <w:right w:val="outset" w:sz="6" w:space="0" w:color="auto"/>
            </w:tcBorders>
            <w:hideMark/>
          </w:tcPr>
          <w:p w14:paraId="7F79FF5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8,485</w:t>
            </w:r>
          </w:p>
        </w:tc>
        <w:tc>
          <w:tcPr>
            <w:tcW w:w="0" w:type="auto"/>
            <w:tcBorders>
              <w:top w:val="outset" w:sz="6" w:space="0" w:color="auto"/>
              <w:left w:val="outset" w:sz="6" w:space="0" w:color="auto"/>
              <w:bottom w:val="outset" w:sz="6" w:space="0" w:color="auto"/>
              <w:right w:val="outset" w:sz="6" w:space="0" w:color="auto"/>
            </w:tcBorders>
            <w:hideMark/>
          </w:tcPr>
          <w:p w14:paraId="0645DB91"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6</w:t>
            </w:r>
          </w:p>
        </w:tc>
        <w:tc>
          <w:tcPr>
            <w:tcW w:w="0" w:type="auto"/>
            <w:tcBorders>
              <w:top w:val="outset" w:sz="6" w:space="0" w:color="auto"/>
              <w:left w:val="outset" w:sz="6" w:space="0" w:color="auto"/>
              <w:bottom w:val="outset" w:sz="6" w:space="0" w:color="auto"/>
              <w:right w:val="outset" w:sz="6" w:space="0" w:color="auto"/>
            </w:tcBorders>
            <w:hideMark/>
          </w:tcPr>
          <w:p w14:paraId="4105023F"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4,243</w:t>
            </w:r>
          </w:p>
        </w:tc>
        <w:tc>
          <w:tcPr>
            <w:tcW w:w="0" w:type="auto"/>
            <w:tcBorders>
              <w:top w:val="outset" w:sz="6" w:space="0" w:color="auto"/>
              <w:left w:val="outset" w:sz="6" w:space="0" w:color="auto"/>
              <w:bottom w:val="outset" w:sz="6" w:space="0" w:color="auto"/>
              <w:right w:val="outset" w:sz="6" w:space="0" w:color="auto"/>
            </w:tcBorders>
            <w:hideMark/>
          </w:tcPr>
          <w:p w14:paraId="78340A0B"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28,284</w:t>
            </w:r>
          </w:p>
        </w:tc>
        <w:tc>
          <w:tcPr>
            <w:tcW w:w="0" w:type="auto"/>
            <w:tcBorders>
              <w:top w:val="outset" w:sz="6" w:space="0" w:color="auto"/>
              <w:left w:val="outset" w:sz="6" w:space="0" w:color="auto"/>
              <w:bottom w:val="outset" w:sz="6" w:space="0" w:color="auto"/>
              <w:right w:val="outset" w:sz="6" w:space="0" w:color="auto"/>
            </w:tcBorders>
            <w:hideMark/>
          </w:tcPr>
          <w:p w14:paraId="7F723C0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20</w:t>
            </w:r>
          </w:p>
        </w:tc>
        <w:tc>
          <w:tcPr>
            <w:tcW w:w="0" w:type="auto"/>
            <w:tcBorders>
              <w:top w:val="outset" w:sz="6" w:space="0" w:color="auto"/>
              <w:left w:val="outset" w:sz="6" w:space="0" w:color="auto"/>
              <w:bottom w:val="outset" w:sz="6" w:space="0" w:color="auto"/>
              <w:right w:val="outset" w:sz="6" w:space="0" w:color="auto"/>
            </w:tcBorders>
            <w:hideMark/>
          </w:tcPr>
          <w:p w14:paraId="5C76F33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14,142</w:t>
            </w:r>
          </w:p>
        </w:tc>
        <w:tc>
          <w:tcPr>
            <w:tcW w:w="0" w:type="auto"/>
            <w:tcBorders>
              <w:top w:val="outset" w:sz="6" w:space="0" w:color="auto"/>
              <w:left w:val="outset" w:sz="6" w:space="0" w:color="auto"/>
              <w:bottom w:val="outset" w:sz="6" w:space="0" w:color="auto"/>
              <w:right w:val="outset" w:sz="6" w:space="0" w:color="auto"/>
            </w:tcBorders>
            <w:hideMark/>
          </w:tcPr>
          <w:p w14:paraId="5A5DC193"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33,941</w:t>
            </w:r>
          </w:p>
        </w:tc>
        <w:tc>
          <w:tcPr>
            <w:tcW w:w="0" w:type="auto"/>
            <w:tcBorders>
              <w:top w:val="outset" w:sz="6" w:space="0" w:color="auto"/>
              <w:left w:val="outset" w:sz="6" w:space="0" w:color="auto"/>
              <w:bottom w:val="outset" w:sz="6" w:space="0" w:color="auto"/>
              <w:right w:val="outset" w:sz="6" w:space="0" w:color="auto"/>
            </w:tcBorders>
            <w:hideMark/>
          </w:tcPr>
          <w:p w14:paraId="59D80582"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24</w:t>
            </w:r>
          </w:p>
        </w:tc>
        <w:tc>
          <w:tcPr>
            <w:tcW w:w="0" w:type="auto"/>
            <w:tcBorders>
              <w:top w:val="outset" w:sz="6" w:space="0" w:color="auto"/>
              <w:left w:val="outset" w:sz="6" w:space="0" w:color="auto"/>
              <w:bottom w:val="outset" w:sz="6" w:space="0" w:color="auto"/>
              <w:right w:val="outset" w:sz="6" w:space="0" w:color="auto"/>
            </w:tcBorders>
            <w:hideMark/>
          </w:tcPr>
          <w:p w14:paraId="4F5835A6"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16,971</w:t>
            </w:r>
          </w:p>
        </w:tc>
      </w:tr>
      <w:tr w:rsidR="004270DC" w:rsidRPr="00884D1F" w14:paraId="2182C5F2" w14:textId="77777777" w:rsidTr="000773D3">
        <w:tblPrEx>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rPr>
          <w:jc w:val="center"/>
        </w:trPr>
        <w:tc>
          <w:tcPr>
            <w:tcW w:w="0" w:type="auto"/>
            <w:tcBorders>
              <w:top w:val="outset" w:sz="6" w:space="0" w:color="auto"/>
              <w:left w:val="outset" w:sz="6" w:space="0" w:color="auto"/>
              <w:bottom w:val="outset" w:sz="6" w:space="0" w:color="auto"/>
              <w:right w:val="outset" w:sz="6" w:space="0" w:color="auto"/>
            </w:tcBorders>
            <w:hideMark/>
          </w:tcPr>
          <w:p w14:paraId="0B0A067C" w14:textId="77777777" w:rsidR="004270DC" w:rsidRPr="00884D1F" w:rsidRDefault="004270DC" w:rsidP="000773D3">
            <w:pPr>
              <w:spacing w:line="312" w:lineRule="atLeast"/>
              <w:rPr>
                <w:color w:val="000000" w:themeColor="text1"/>
                <w:sz w:val="22"/>
                <w:szCs w:val="22"/>
                <w:lang w:eastAsia="ro-MD"/>
              </w:rPr>
            </w:pPr>
            <w:r w:rsidRPr="00884D1F">
              <w:rPr>
                <w:color w:val="000000" w:themeColor="text1"/>
                <w:sz w:val="22"/>
                <w:szCs w:val="22"/>
                <w:lang w:eastAsia="ro-MD"/>
              </w:rPr>
              <w:t>4</w:t>
            </w:r>
          </w:p>
        </w:tc>
        <w:tc>
          <w:tcPr>
            <w:tcW w:w="0" w:type="auto"/>
            <w:tcBorders>
              <w:top w:val="outset" w:sz="6" w:space="0" w:color="auto"/>
              <w:left w:val="outset" w:sz="6" w:space="0" w:color="auto"/>
              <w:bottom w:val="outset" w:sz="6" w:space="0" w:color="auto"/>
              <w:right w:val="outset" w:sz="6" w:space="0" w:color="auto"/>
            </w:tcBorders>
            <w:hideMark/>
          </w:tcPr>
          <w:p w14:paraId="1AA76C1C" w14:textId="77777777" w:rsidR="004270DC" w:rsidRPr="00884D1F" w:rsidRDefault="004270DC" w:rsidP="000773D3">
            <w:pPr>
              <w:spacing w:before="60" w:after="60" w:line="312" w:lineRule="atLeast"/>
              <w:jc w:val="both"/>
              <w:rPr>
                <w:color w:val="000000" w:themeColor="text1"/>
                <w:sz w:val="22"/>
                <w:szCs w:val="22"/>
                <w:lang w:val="ro-RO" w:eastAsia="ro-MD"/>
              </w:rPr>
            </w:pPr>
            <w:r w:rsidRPr="00884D1F">
              <w:rPr>
                <w:color w:val="000000" w:themeColor="text1"/>
                <w:sz w:val="22"/>
                <w:szCs w:val="22"/>
                <w:lang w:val="ro-RO" w:eastAsia="ro-MD"/>
              </w:rPr>
              <w:t>toți</w:t>
            </w:r>
          </w:p>
        </w:tc>
        <w:tc>
          <w:tcPr>
            <w:tcW w:w="0" w:type="auto"/>
            <w:tcBorders>
              <w:top w:val="outset" w:sz="6" w:space="0" w:color="auto"/>
              <w:left w:val="outset" w:sz="6" w:space="0" w:color="auto"/>
              <w:bottom w:val="outset" w:sz="6" w:space="0" w:color="auto"/>
              <w:right w:val="outset" w:sz="6" w:space="0" w:color="auto"/>
            </w:tcBorders>
            <w:hideMark/>
          </w:tcPr>
          <w:p w14:paraId="23EB3654"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21,213</w:t>
            </w:r>
          </w:p>
        </w:tc>
        <w:tc>
          <w:tcPr>
            <w:tcW w:w="0" w:type="auto"/>
            <w:tcBorders>
              <w:top w:val="outset" w:sz="6" w:space="0" w:color="auto"/>
              <w:left w:val="outset" w:sz="6" w:space="0" w:color="auto"/>
              <w:bottom w:val="outset" w:sz="6" w:space="0" w:color="auto"/>
              <w:right w:val="outset" w:sz="6" w:space="0" w:color="auto"/>
            </w:tcBorders>
            <w:hideMark/>
          </w:tcPr>
          <w:p w14:paraId="11900B49"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15</w:t>
            </w:r>
          </w:p>
        </w:tc>
        <w:tc>
          <w:tcPr>
            <w:tcW w:w="0" w:type="auto"/>
            <w:tcBorders>
              <w:top w:val="outset" w:sz="6" w:space="0" w:color="auto"/>
              <w:left w:val="outset" w:sz="6" w:space="0" w:color="auto"/>
              <w:bottom w:val="outset" w:sz="6" w:space="0" w:color="auto"/>
              <w:right w:val="outset" w:sz="6" w:space="0" w:color="auto"/>
            </w:tcBorders>
            <w:hideMark/>
          </w:tcPr>
          <w:p w14:paraId="5E0DB008"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10,607</w:t>
            </w:r>
          </w:p>
        </w:tc>
        <w:tc>
          <w:tcPr>
            <w:tcW w:w="0" w:type="auto"/>
            <w:tcBorders>
              <w:top w:val="outset" w:sz="6" w:space="0" w:color="auto"/>
              <w:left w:val="outset" w:sz="6" w:space="0" w:color="auto"/>
              <w:bottom w:val="outset" w:sz="6" w:space="0" w:color="auto"/>
              <w:right w:val="outset" w:sz="6" w:space="0" w:color="auto"/>
            </w:tcBorders>
            <w:hideMark/>
          </w:tcPr>
          <w:p w14:paraId="4E270BCE"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4AFCC310"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5DD425DC"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2EBD5C17"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318298CD"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N/A</w:t>
            </w:r>
          </w:p>
        </w:tc>
        <w:tc>
          <w:tcPr>
            <w:tcW w:w="0" w:type="auto"/>
            <w:tcBorders>
              <w:top w:val="outset" w:sz="6" w:space="0" w:color="auto"/>
              <w:left w:val="outset" w:sz="6" w:space="0" w:color="auto"/>
              <w:bottom w:val="outset" w:sz="6" w:space="0" w:color="auto"/>
              <w:right w:val="outset" w:sz="6" w:space="0" w:color="auto"/>
            </w:tcBorders>
            <w:hideMark/>
          </w:tcPr>
          <w:p w14:paraId="7A2CBE05" w14:textId="77777777" w:rsidR="004270DC" w:rsidRPr="00884D1F" w:rsidRDefault="004270D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N/A</w:t>
            </w:r>
          </w:p>
        </w:tc>
      </w:tr>
    </w:tbl>
    <w:p w14:paraId="31A65BA7" w14:textId="30F09FC5" w:rsidR="004270DC" w:rsidRPr="00884D1F" w:rsidRDefault="004270DC" w:rsidP="004270DC">
      <w:pPr>
        <w:tabs>
          <w:tab w:val="left" w:pos="567"/>
        </w:tabs>
        <w:spacing w:before="80"/>
        <w:jc w:val="both"/>
        <w:rPr>
          <w:color w:val="000000" w:themeColor="text1"/>
          <w:sz w:val="22"/>
          <w:szCs w:val="22"/>
          <w:lang w:val="ro-MD"/>
        </w:rPr>
      </w:pPr>
    </w:p>
    <w:p w14:paraId="2C6F6F41" w14:textId="47095307" w:rsidR="008A1582" w:rsidRPr="00275998" w:rsidRDefault="004F72C3" w:rsidP="00CB36D2">
      <w:pPr>
        <w:pStyle w:val="ListParagraph"/>
        <w:numPr>
          <w:ilvl w:val="2"/>
          <w:numId w:val="27"/>
        </w:numPr>
        <w:tabs>
          <w:tab w:val="left" w:pos="567"/>
        </w:tabs>
        <w:spacing w:before="80"/>
        <w:ind w:left="0" w:firstLine="567"/>
        <w:contextualSpacing w:val="0"/>
        <w:jc w:val="both"/>
        <w:rPr>
          <w:color w:val="000000" w:themeColor="text1"/>
          <w:sz w:val="22"/>
          <w:szCs w:val="22"/>
          <w:lang w:val="ru-MD"/>
        </w:rPr>
      </w:pPr>
      <w:r w:rsidRPr="00275998">
        <w:rPr>
          <w:color w:val="000000" w:themeColor="text1"/>
          <w:sz w:val="22"/>
          <w:szCs w:val="22"/>
          <w:lang w:val="ru-MD"/>
        </w:rPr>
        <w:t xml:space="preserve">таблицу </w:t>
      </w:r>
      <w:r w:rsidR="00923EBE" w:rsidRPr="00275998">
        <w:rPr>
          <w:color w:val="000000" w:themeColor="text1"/>
          <w:sz w:val="22"/>
          <w:szCs w:val="22"/>
          <w:lang w:val="ru-MD"/>
        </w:rPr>
        <w:t>№ 2 дополнить новой графой следующего содержания</w:t>
      </w:r>
      <w:r w:rsidR="008A1582" w:rsidRPr="00275998">
        <w:rPr>
          <w:color w:val="000000" w:themeColor="text1"/>
          <w:sz w:val="22"/>
          <w:szCs w:val="22"/>
          <w:lang w:val="ru-MD"/>
        </w:rPr>
        <w:t>:</w:t>
      </w:r>
    </w:p>
    <w:p w14:paraId="4ADD340B" w14:textId="2E89A482" w:rsidR="0079290C" w:rsidRPr="00275998" w:rsidRDefault="0079290C" w:rsidP="0079290C">
      <w:pPr>
        <w:tabs>
          <w:tab w:val="left" w:pos="567"/>
        </w:tabs>
        <w:spacing w:before="80"/>
        <w:jc w:val="both"/>
        <w:rPr>
          <w:color w:val="000000" w:themeColor="text1"/>
          <w:sz w:val="22"/>
          <w:szCs w:val="22"/>
          <w:lang w:val="ru-MD"/>
        </w:rPr>
      </w:pPr>
    </w:p>
    <w:tbl>
      <w:tblPr>
        <w:tblW w:w="627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8"/>
        <w:gridCol w:w="2108"/>
        <w:gridCol w:w="2060"/>
      </w:tblGrid>
      <w:tr w:rsidR="000B2CBE" w:rsidRPr="007544BA" w14:paraId="798DB836" w14:textId="77777777" w:rsidTr="0079290C">
        <w:trPr>
          <w:trHeight w:val="962"/>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322651C" w14:textId="64F5C64A" w:rsidR="0079290C" w:rsidRPr="00275998" w:rsidRDefault="00275998" w:rsidP="000773D3">
            <w:pPr>
              <w:spacing w:before="60" w:after="60" w:line="312" w:lineRule="atLeast"/>
              <w:jc w:val="both"/>
              <w:rPr>
                <w:b/>
                <w:bCs/>
                <w:color w:val="000000" w:themeColor="text1"/>
                <w:sz w:val="22"/>
                <w:szCs w:val="22"/>
                <w:lang w:val="ru-MD" w:eastAsia="ro-MD"/>
              </w:rPr>
            </w:pPr>
            <w:r w:rsidRPr="00275998">
              <w:rPr>
                <w:b/>
                <w:bCs/>
                <w:color w:val="000000" w:themeColor="text1"/>
                <w:sz w:val="22"/>
                <w:szCs w:val="22"/>
                <w:lang w:val="ru-MD" w:eastAsia="ro-MD"/>
              </w:rPr>
              <w:t>Корректировки волатильности для позиций секьюритизации, соответствующих критериям, изложенным в подпункте 9) пункта 25, для которых были проведены краткосрочные кредитные оценки</w:t>
            </w:r>
          </w:p>
        </w:tc>
      </w:tr>
      <w:tr w:rsidR="00275998" w:rsidRPr="00884D1F" w14:paraId="024ECF77" w14:textId="77777777" w:rsidTr="0079290C">
        <w:trPr>
          <w:trHeight w:val="1104"/>
          <w:jc w:val="center"/>
        </w:trPr>
        <w:tc>
          <w:tcPr>
            <w:tcW w:w="0" w:type="auto"/>
            <w:tcBorders>
              <w:top w:val="outset" w:sz="6" w:space="0" w:color="auto"/>
              <w:left w:val="outset" w:sz="6" w:space="0" w:color="auto"/>
              <w:bottom w:val="outset" w:sz="6" w:space="0" w:color="auto"/>
              <w:right w:val="outset" w:sz="6" w:space="0" w:color="auto"/>
            </w:tcBorders>
          </w:tcPr>
          <w:p w14:paraId="4CE0F60A" w14:textId="2B843418" w:rsidR="00275998" w:rsidRPr="00884D1F" w:rsidRDefault="00275998" w:rsidP="00275998">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20 дней (%)</w:t>
            </w:r>
          </w:p>
        </w:tc>
        <w:tc>
          <w:tcPr>
            <w:tcW w:w="0" w:type="auto"/>
            <w:tcBorders>
              <w:top w:val="outset" w:sz="6" w:space="0" w:color="auto"/>
              <w:left w:val="outset" w:sz="6" w:space="0" w:color="auto"/>
              <w:bottom w:val="outset" w:sz="6" w:space="0" w:color="auto"/>
              <w:right w:val="outset" w:sz="6" w:space="0" w:color="auto"/>
            </w:tcBorders>
          </w:tcPr>
          <w:p w14:paraId="6D4BB260" w14:textId="6D9832E7" w:rsidR="00275998" w:rsidRPr="00884D1F" w:rsidRDefault="00275998" w:rsidP="00275998">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10 дней (%)</w:t>
            </w:r>
          </w:p>
        </w:tc>
        <w:tc>
          <w:tcPr>
            <w:tcW w:w="0" w:type="auto"/>
            <w:tcBorders>
              <w:top w:val="outset" w:sz="6" w:space="0" w:color="auto"/>
              <w:left w:val="outset" w:sz="6" w:space="0" w:color="auto"/>
              <w:bottom w:val="outset" w:sz="6" w:space="0" w:color="auto"/>
              <w:right w:val="outset" w:sz="6" w:space="0" w:color="auto"/>
            </w:tcBorders>
          </w:tcPr>
          <w:p w14:paraId="0C06F76D" w14:textId="3FE590EE" w:rsidR="00275998" w:rsidRPr="00884D1F" w:rsidRDefault="00275998" w:rsidP="00275998">
            <w:pPr>
              <w:spacing w:before="60" w:after="60" w:line="312" w:lineRule="atLeast"/>
              <w:jc w:val="both"/>
              <w:rPr>
                <w:b/>
                <w:bCs/>
                <w:color w:val="000000" w:themeColor="text1"/>
                <w:sz w:val="22"/>
                <w:szCs w:val="22"/>
                <w:lang w:val="ro-RO" w:eastAsia="ro-MD"/>
              </w:rPr>
            </w:pPr>
            <w:r>
              <w:rPr>
                <w:b/>
                <w:bCs/>
                <w:color w:val="000000" w:themeColor="text1"/>
                <w:sz w:val="22"/>
                <w:szCs w:val="22"/>
                <w:lang w:val="ru-RU" w:eastAsia="ro-MD"/>
              </w:rPr>
              <w:t>Период владения 5 дней (%)</w:t>
            </w:r>
          </w:p>
        </w:tc>
      </w:tr>
      <w:tr w:rsidR="000B2CBE" w:rsidRPr="00884D1F" w14:paraId="7A585FAA" w14:textId="77777777" w:rsidTr="0079290C">
        <w:trPr>
          <w:trHeight w:val="395"/>
          <w:jc w:val="center"/>
        </w:trPr>
        <w:tc>
          <w:tcPr>
            <w:tcW w:w="0" w:type="auto"/>
            <w:tcBorders>
              <w:top w:val="outset" w:sz="6" w:space="0" w:color="auto"/>
              <w:left w:val="outset" w:sz="6" w:space="0" w:color="auto"/>
              <w:bottom w:val="outset" w:sz="6" w:space="0" w:color="auto"/>
              <w:right w:val="outset" w:sz="6" w:space="0" w:color="auto"/>
            </w:tcBorders>
          </w:tcPr>
          <w:p w14:paraId="2479CAEB" w14:textId="77777777" w:rsidR="0079290C" w:rsidRPr="00884D1F" w:rsidRDefault="0079290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c>
          <w:tcPr>
            <w:tcW w:w="0" w:type="auto"/>
            <w:tcBorders>
              <w:top w:val="outset" w:sz="6" w:space="0" w:color="auto"/>
              <w:left w:val="outset" w:sz="6" w:space="0" w:color="auto"/>
              <w:bottom w:val="outset" w:sz="6" w:space="0" w:color="auto"/>
              <w:right w:val="outset" w:sz="6" w:space="0" w:color="auto"/>
            </w:tcBorders>
          </w:tcPr>
          <w:p w14:paraId="6F6A662C" w14:textId="77777777" w:rsidR="0079290C" w:rsidRPr="00884D1F" w:rsidRDefault="0079290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w:t>
            </w:r>
          </w:p>
        </w:tc>
        <w:tc>
          <w:tcPr>
            <w:tcW w:w="0" w:type="auto"/>
            <w:tcBorders>
              <w:top w:val="outset" w:sz="6" w:space="0" w:color="auto"/>
              <w:left w:val="outset" w:sz="6" w:space="0" w:color="auto"/>
              <w:bottom w:val="outset" w:sz="6" w:space="0" w:color="auto"/>
              <w:right w:val="outset" w:sz="6" w:space="0" w:color="auto"/>
            </w:tcBorders>
          </w:tcPr>
          <w:p w14:paraId="5FDE9DCB" w14:textId="77777777" w:rsidR="0079290C" w:rsidRPr="00884D1F" w:rsidRDefault="0079290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1,414</w:t>
            </w:r>
          </w:p>
        </w:tc>
      </w:tr>
      <w:tr w:rsidR="0079290C" w:rsidRPr="00884D1F" w14:paraId="7B977511" w14:textId="77777777" w:rsidTr="0079290C">
        <w:trPr>
          <w:trHeight w:val="459"/>
          <w:jc w:val="center"/>
        </w:trPr>
        <w:tc>
          <w:tcPr>
            <w:tcW w:w="0" w:type="auto"/>
            <w:tcBorders>
              <w:top w:val="outset" w:sz="6" w:space="0" w:color="auto"/>
              <w:left w:val="outset" w:sz="6" w:space="0" w:color="auto"/>
              <w:bottom w:val="outset" w:sz="6" w:space="0" w:color="auto"/>
              <w:right w:val="outset" w:sz="6" w:space="0" w:color="auto"/>
            </w:tcBorders>
          </w:tcPr>
          <w:p w14:paraId="2B5B04AE" w14:textId="77777777" w:rsidR="0079290C" w:rsidRPr="00884D1F" w:rsidRDefault="0079290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5,657</w:t>
            </w:r>
          </w:p>
        </w:tc>
        <w:tc>
          <w:tcPr>
            <w:tcW w:w="0" w:type="auto"/>
            <w:tcBorders>
              <w:top w:val="outset" w:sz="6" w:space="0" w:color="auto"/>
              <w:left w:val="outset" w:sz="6" w:space="0" w:color="auto"/>
              <w:bottom w:val="outset" w:sz="6" w:space="0" w:color="auto"/>
              <w:right w:val="outset" w:sz="6" w:space="0" w:color="auto"/>
            </w:tcBorders>
          </w:tcPr>
          <w:p w14:paraId="5DCF4DDE" w14:textId="77777777" w:rsidR="0079290C" w:rsidRPr="00884D1F" w:rsidRDefault="0079290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4</w:t>
            </w:r>
          </w:p>
        </w:tc>
        <w:tc>
          <w:tcPr>
            <w:tcW w:w="0" w:type="auto"/>
            <w:tcBorders>
              <w:top w:val="outset" w:sz="6" w:space="0" w:color="auto"/>
              <w:left w:val="outset" w:sz="6" w:space="0" w:color="auto"/>
              <w:bottom w:val="outset" w:sz="6" w:space="0" w:color="auto"/>
              <w:right w:val="outset" w:sz="6" w:space="0" w:color="auto"/>
            </w:tcBorders>
          </w:tcPr>
          <w:p w14:paraId="74EB2280" w14:textId="77777777" w:rsidR="0079290C" w:rsidRPr="00884D1F" w:rsidRDefault="0079290C" w:rsidP="000773D3">
            <w:pPr>
              <w:spacing w:before="60" w:after="60" w:line="312" w:lineRule="atLeast"/>
              <w:jc w:val="both"/>
              <w:rPr>
                <w:color w:val="000000" w:themeColor="text1"/>
                <w:sz w:val="22"/>
                <w:szCs w:val="22"/>
                <w:lang w:eastAsia="ro-MD"/>
              </w:rPr>
            </w:pPr>
            <w:r w:rsidRPr="00884D1F">
              <w:rPr>
                <w:color w:val="000000" w:themeColor="text1"/>
                <w:sz w:val="22"/>
                <w:szCs w:val="22"/>
                <w:lang w:eastAsia="ro-MD"/>
              </w:rPr>
              <w:t>2,828</w:t>
            </w:r>
          </w:p>
        </w:tc>
      </w:tr>
    </w:tbl>
    <w:p w14:paraId="21C4E9BE" w14:textId="7F3EFD55" w:rsidR="0079290C" w:rsidRPr="00884D1F" w:rsidRDefault="0079290C" w:rsidP="0079290C">
      <w:pPr>
        <w:tabs>
          <w:tab w:val="left" w:pos="567"/>
        </w:tabs>
        <w:spacing w:before="80"/>
        <w:jc w:val="both"/>
        <w:rPr>
          <w:color w:val="000000" w:themeColor="text1"/>
          <w:sz w:val="22"/>
          <w:szCs w:val="22"/>
          <w:lang w:val="ro-MD"/>
        </w:rPr>
      </w:pPr>
    </w:p>
    <w:p w14:paraId="7F9FFCCD" w14:textId="6B79A8BF" w:rsidR="008A1582" w:rsidRPr="00884D1F" w:rsidRDefault="004F72C3" w:rsidP="00CB36D2">
      <w:pPr>
        <w:pStyle w:val="ListParagraph"/>
        <w:numPr>
          <w:ilvl w:val="2"/>
          <w:numId w:val="27"/>
        </w:numPr>
        <w:tabs>
          <w:tab w:val="left" w:pos="0"/>
        </w:tabs>
        <w:spacing w:before="80"/>
        <w:ind w:left="0" w:firstLine="567"/>
        <w:contextualSpacing w:val="0"/>
        <w:jc w:val="both"/>
        <w:rPr>
          <w:color w:val="000000" w:themeColor="text1"/>
          <w:sz w:val="22"/>
          <w:szCs w:val="22"/>
          <w:lang w:val="ro-MD"/>
        </w:rPr>
      </w:pPr>
      <w:r w:rsidRPr="00275998">
        <w:rPr>
          <w:color w:val="000000" w:themeColor="text1"/>
          <w:sz w:val="22"/>
          <w:szCs w:val="22"/>
          <w:lang w:val="ru-MD"/>
        </w:rPr>
        <w:t xml:space="preserve">таблицу </w:t>
      </w:r>
      <w:r w:rsidR="0097465E" w:rsidRPr="0097465E">
        <w:rPr>
          <w:color w:val="000000" w:themeColor="text1"/>
          <w:sz w:val="22"/>
          <w:szCs w:val="22"/>
          <w:lang w:val="ro-MD"/>
        </w:rPr>
        <w:t xml:space="preserve">№ </w:t>
      </w:r>
      <w:r w:rsidR="008A1582" w:rsidRPr="00884D1F">
        <w:rPr>
          <w:color w:val="000000" w:themeColor="text1"/>
          <w:sz w:val="22"/>
          <w:szCs w:val="22"/>
          <w:lang w:val="ro-MD"/>
        </w:rPr>
        <w:t xml:space="preserve">3 </w:t>
      </w:r>
      <w:r w:rsidR="00363BCE" w:rsidRPr="00363BCE">
        <w:rPr>
          <w:color w:val="000000" w:themeColor="text1"/>
          <w:sz w:val="22"/>
          <w:szCs w:val="22"/>
          <w:lang w:val="ru-MD"/>
        </w:rPr>
        <w:t>изложить в следующей редакции</w:t>
      </w:r>
      <w:r w:rsidR="008A1582" w:rsidRPr="00884D1F">
        <w:rPr>
          <w:color w:val="000000" w:themeColor="text1"/>
          <w:sz w:val="22"/>
          <w:szCs w:val="22"/>
          <w:lang w:val="ro-MD"/>
        </w:rPr>
        <w:t>:</w:t>
      </w:r>
    </w:p>
    <w:p w14:paraId="0C8402A4" w14:textId="1F7AEF53" w:rsidR="00BB2430" w:rsidRPr="00884D1F" w:rsidRDefault="00BB2430" w:rsidP="00BB2430">
      <w:pPr>
        <w:tabs>
          <w:tab w:val="left" w:pos="567"/>
        </w:tabs>
        <w:spacing w:before="80"/>
        <w:jc w:val="both"/>
        <w:rPr>
          <w:color w:val="000000" w:themeColor="text1"/>
          <w:sz w:val="22"/>
          <w:szCs w:val="22"/>
          <w:lang w:val="ro-MD"/>
        </w:rPr>
      </w:pPr>
    </w:p>
    <w:tbl>
      <w:tblPr>
        <w:tblW w:w="4213" w:type="pct"/>
        <w:jc w:val="center"/>
        <w:tblCellMar>
          <w:top w:w="15" w:type="dxa"/>
          <w:left w:w="15" w:type="dxa"/>
          <w:bottom w:w="15" w:type="dxa"/>
          <w:right w:w="15" w:type="dxa"/>
        </w:tblCellMar>
        <w:tblLook w:val="04A0" w:firstRow="1" w:lastRow="0" w:firstColumn="1" w:lastColumn="0" w:noHBand="0" w:noVBand="1"/>
      </w:tblPr>
      <w:tblGrid>
        <w:gridCol w:w="1801"/>
        <w:gridCol w:w="2124"/>
        <w:gridCol w:w="2124"/>
        <w:gridCol w:w="2115"/>
      </w:tblGrid>
      <w:tr w:rsidR="000B2CBE" w:rsidRPr="007544BA" w14:paraId="24D1C5A5" w14:textId="77777777" w:rsidTr="0099722D">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F660D58" w14:textId="3BE80093" w:rsidR="00BB2430" w:rsidRPr="00CE2C60" w:rsidRDefault="0097465E" w:rsidP="000773D3">
            <w:pPr>
              <w:jc w:val="right"/>
              <w:rPr>
                <w:color w:val="000000" w:themeColor="text1"/>
                <w:sz w:val="22"/>
                <w:szCs w:val="22"/>
                <w:lang w:val="ro-RO" w:eastAsia="ro-MD"/>
              </w:rPr>
            </w:pPr>
            <w:r w:rsidRPr="00CE2C60">
              <w:rPr>
                <w:b/>
                <w:bCs/>
                <w:color w:val="000000" w:themeColor="text1"/>
                <w:sz w:val="22"/>
                <w:szCs w:val="22"/>
                <w:lang w:val="ru-RU" w:eastAsia="ro-MD"/>
              </w:rPr>
              <w:t xml:space="preserve">«Таблица № </w:t>
            </w:r>
            <w:r w:rsidR="00BB2430" w:rsidRPr="00CE2C60">
              <w:rPr>
                <w:b/>
                <w:bCs/>
                <w:color w:val="000000" w:themeColor="text1"/>
                <w:sz w:val="22"/>
                <w:szCs w:val="22"/>
                <w:lang w:val="ro-RO" w:eastAsia="ro-MD"/>
              </w:rPr>
              <w:t>3</w:t>
            </w:r>
          </w:p>
          <w:p w14:paraId="491AB28C" w14:textId="77777777" w:rsidR="00BB2430" w:rsidRPr="00CE2C60" w:rsidRDefault="00BB2430" w:rsidP="000773D3">
            <w:pPr>
              <w:ind w:firstLine="567"/>
              <w:jc w:val="both"/>
              <w:rPr>
                <w:color w:val="000000" w:themeColor="text1"/>
                <w:sz w:val="22"/>
                <w:szCs w:val="22"/>
                <w:lang w:val="ro-RO" w:eastAsia="ro-MD"/>
              </w:rPr>
            </w:pPr>
            <w:r w:rsidRPr="00CE2C60">
              <w:rPr>
                <w:color w:val="000000" w:themeColor="text1"/>
                <w:sz w:val="22"/>
                <w:szCs w:val="22"/>
                <w:lang w:val="ro-RO" w:eastAsia="ro-MD"/>
              </w:rPr>
              <w:t> </w:t>
            </w:r>
          </w:p>
          <w:p w14:paraId="6C688F87" w14:textId="77777777" w:rsidR="0097465E" w:rsidRPr="00CE2C60" w:rsidRDefault="0097465E" w:rsidP="0097465E">
            <w:pPr>
              <w:jc w:val="center"/>
              <w:rPr>
                <w:b/>
                <w:bCs/>
                <w:sz w:val="22"/>
                <w:szCs w:val="22"/>
                <w:lang w:val="ru-RU" w:eastAsia="ro-MD"/>
              </w:rPr>
            </w:pPr>
            <w:r w:rsidRPr="00CE2C60">
              <w:rPr>
                <w:b/>
                <w:bCs/>
                <w:sz w:val="22"/>
                <w:szCs w:val="22"/>
                <w:lang w:val="ru-RU" w:eastAsia="ro-MD"/>
              </w:rPr>
              <w:t>Другие виды реальных обеспечений или подверженностей</w:t>
            </w:r>
          </w:p>
          <w:p w14:paraId="676B9220" w14:textId="77777777" w:rsidR="00BB2430" w:rsidRPr="00CE2C60" w:rsidRDefault="00BB2430" w:rsidP="000773D3">
            <w:pPr>
              <w:ind w:firstLine="567"/>
              <w:jc w:val="both"/>
              <w:rPr>
                <w:color w:val="000000" w:themeColor="text1"/>
                <w:sz w:val="22"/>
                <w:szCs w:val="22"/>
                <w:lang w:val="ro-RO" w:eastAsia="ro-MD"/>
              </w:rPr>
            </w:pPr>
            <w:r w:rsidRPr="00CE2C60">
              <w:rPr>
                <w:color w:val="000000" w:themeColor="text1"/>
                <w:sz w:val="22"/>
                <w:szCs w:val="22"/>
                <w:lang w:val="ro-RO" w:eastAsia="ro-MD"/>
              </w:rPr>
              <w:t> </w:t>
            </w:r>
          </w:p>
        </w:tc>
      </w:tr>
      <w:tr w:rsidR="00CE2C60" w:rsidRPr="00CE2C60" w14:paraId="2076267B" w14:textId="77777777" w:rsidTr="0099722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9813A0" w14:textId="4EA4C45C" w:rsidR="00CE2C60" w:rsidRPr="00CE2C60" w:rsidRDefault="00CE2C60" w:rsidP="00CE2C60">
            <w:pPr>
              <w:jc w:val="center"/>
              <w:rPr>
                <w:b/>
                <w:bCs/>
                <w:color w:val="000000" w:themeColor="text1"/>
                <w:sz w:val="22"/>
                <w:szCs w:val="22"/>
                <w:lang w:val="ro-RO" w:eastAsia="ro-MD"/>
              </w:rPr>
            </w:pPr>
            <w:r w:rsidRPr="00CE2C60">
              <w:rPr>
                <w:b/>
                <w:bCs/>
                <w:sz w:val="22"/>
                <w:szCs w:val="22"/>
                <w:lang w:val="ru-RU" w:eastAsia="ro-MD"/>
              </w:rPr>
              <w:t>Виды реальных гарантий</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B359BF1" w14:textId="0A4F7CC3" w:rsidR="00CE2C60" w:rsidRPr="00CE2C60" w:rsidRDefault="00CE2C60" w:rsidP="00CE2C60">
            <w:pPr>
              <w:jc w:val="center"/>
              <w:rPr>
                <w:b/>
                <w:bCs/>
                <w:color w:val="000000" w:themeColor="text1"/>
                <w:sz w:val="22"/>
                <w:szCs w:val="22"/>
                <w:lang w:val="ro-RO" w:eastAsia="ro-MD"/>
              </w:rPr>
            </w:pPr>
            <w:r w:rsidRPr="00CE2C60">
              <w:rPr>
                <w:b/>
                <w:bCs/>
                <w:sz w:val="22"/>
                <w:szCs w:val="22"/>
                <w:lang w:val="ru-RU" w:eastAsia="ro-MD"/>
              </w:rPr>
              <w:t>Период ликвидации</w:t>
            </w:r>
            <w:r w:rsidRPr="00CE2C60">
              <w:rPr>
                <w:b/>
                <w:bCs/>
                <w:sz w:val="22"/>
                <w:szCs w:val="22"/>
                <w:lang w:val="ru-RU" w:eastAsia="ro-MD"/>
              </w:rPr>
              <w:br/>
              <w:t>20 рабочих дней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62AC5CF1" w14:textId="7E5B6111" w:rsidR="00CE2C60" w:rsidRPr="00CE2C60" w:rsidRDefault="00CE2C60" w:rsidP="00CE2C60">
            <w:pPr>
              <w:jc w:val="center"/>
              <w:rPr>
                <w:b/>
                <w:bCs/>
                <w:color w:val="000000" w:themeColor="text1"/>
                <w:sz w:val="22"/>
                <w:szCs w:val="22"/>
                <w:lang w:val="ro-RO" w:eastAsia="ro-MD"/>
              </w:rPr>
            </w:pPr>
            <w:r w:rsidRPr="00CE2C60">
              <w:rPr>
                <w:b/>
                <w:bCs/>
                <w:sz w:val="22"/>
                <w:szCs w:val="22"/>
                <w:lang w:val="ru-RU" w:eastAsia="ro-MD"/>
              </w:rPr>
              <w:t>Период ликвидации</w:t>
            </w:r>
            <w:r w:rsidRPr="00CE2C60">
              <w:rPr>
                <w:b/>
                <w:bCs/>
                <w:sz w:val="22"/>
                <w:szCs w:val="22"/>
                <w:lang w:val="ru-RU" w:eastAsia="ro-MD"/>
              </w:rPr>
              <w:br/>
              <w:t>10 рабочих дней (%)</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9767514" w14:textId="49E28030" w:rsidR="00CE2C60" w:rsidRPr="00CE2C60" w:rsidRDefault="00CE2C60" w:rsidP="00CE2C60">
            <w:pPr>
              <w:jc w:val="center"/>
              <w:rPr>
                <w:b/>
                <w:bCs/>
                <w:color w:val="000000" w:themeColor="text1"/>
                <w:sz w:val="22"/>
                <w:szCs w:val="22"/>
                <w:lang w:val="ro-RO" w:eastAsia="ro-MD"/>
              </w:rPr>
            </w:pPr>
            <w:r w:rsidRPr="00CE2C60">
              <w:rPr>
                <w:b/>
                <w:bCs/>
                <w:sz w:val="22"/>
                <w:szCs w:val="22"/>
                <w:lang w:val="ru-RU" w:eastAsia="ro-MD"/>
              </w:rPr>
              <w:t>Период ликвидации</w:t>
            </w:r>
            <w:r w:rsidRPr="00CE2C60">
              <w:rPr>
                <w:b/>
                <w:bCs/>
                <w:sz w:val="22"/>
                <w:szCs w:val="22"/>
                <w:lang w:val="ru-RU" w:eastAsia="ro-MD"/>
              </w:rPr>
              <w:br/>
              <w:t>5 рабочих дней (%)</w:t>
            </w:r>
          </w:p>
        </w:tc>
      </w:tr>
      <w:tr w:rsidR="000B2CBE" w:rsidRPr="00884D1F" w14:paraId="13392177" w14:textId="77777777" w:rsidTr="0099722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F0895" w14:textId="51ED86ED" w:rsidR="00BB2430" w:rsidRPr="00CE2C60" w:rsidRDefault="00CE2C60" w:rsidP="000773D3">
            <w:pPr>
              <w:rPr>
                <w:color w:val="000000" w:themeColor="text1"/>
                <w:sz w:val="22"/>
                <w:szCs w:val="22"/>
                <w:lang w:val="ro-RO" w:eastAsia="ro-MD"/>
              </w:rPr>
            </w:pPr>
            <w:r w:rsidRPr="00CE2C60">
              <w:rPr>
                <w:sz w:val="22"/>
                <w:szCs w:val="22"/>
                <w:lang w:val="ru-RU" w:eastAsia="ro-MD"/>
              </w:rPr>
              <w:t>Капитальные ценные бумаги, включенные в основной показатель, конвертируемые обязательства, включённые в основной показатель</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3C68" w14:textId="77777777" w:rsidR="00BB2430" w:rsidRPr="00884D1F" w:rsidRDefault="00BB2430" w:rsidP="000773D3">
            <w:pPr>
              <w:jc w:val="center"/>
              <w:rPr>
                <w:color w:val="000000" w:themeColor="text1"/>
                <w:sz w:val="22"/>
                <w:szCs w:val="22"/>
                <w:lang w:val="ro-RO" w:eastAsia="ro-MD"/>
              </w:rPr>
            </w:pPr>
            <w:r w:rsidRPr="00884D1F">
              <w:rPr>
                <w:color w:val="000000" w:themeColor="text1"/>
                <w:sz w:val="22"/>
                <w:szCs w:val="22"/>
                <w:lang w:val="ro-RO"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F3A6D" w14:textId="77777777" w:rsidR="00BB2430" w:rsidRPr="00884D1F" w:rsidRDefault="00BB2430" w:rsidP="000773D3">
            <w:pPr>
              <w:jc w:val="center"/>
              <w:rPr>
                <w:color w:val="000000" w:themeColor="text1"/>
                <w:sz w:val="22"/>
                <w:szCs w:val="22"/>
                <w:lang w:val="ro-RO" w:eastAsia="ro-MD"/>
              </w:rPr>
            </w:pPr>
            <w:r w:rsidRPr="00884D1F">
              <w:rPr>
                <w:color w:val="000000" w:themeColor="text1"/>
                <w:sz w:val="22"/>
                <w:szCs w:val="22"/>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11681" w14:textId="77777777" w:rsidR="00BB2430" w:rsidRPr="00884D1F" w:rsidRDefault="00BB2430" w:rsidP="000773D3">
            <w:pPr>
              <w:jc w:val="center"/>
              <w:rPr>
                <w:color w:val="000000" w:themeColor="text1"/>
                <w:sz w:val="22"/>
                <w:szCs w:val="22"/>
                <w:lang w:val="ro-RO" w:eastAsia="ro-MD"/>
              </w:rPr>
            </w:pPr>
            <w:r w:rsidRPr="00884D1F">
              <w:rPr>
                <w:color w:val="000000" w:themeColor="text1"/>
                <w:sz w:val="22"/>
                <w:szCs w:val="22"/>
                <w:lang w:val="ro-RO" w:eastAsia="ro-MD"/>
              </w:rPr>
              <w:t>14,142</w:t>
            </w:r>
          </w:p>
        </w:tc>
      </w:tr>
      <w:tr w:rsidR="00CE2C60" w:rsidRPr="00884D1F" w14:paraId="508B53AE" w14:textId="77777777" w:rsidTr="0099722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9A77" w14:textId="20286AEC" w:rsidR="00CE2C60" w:rsidRPr="00884D1F" w:rsidRDefault="00CE2C60" w:rsidP="00CE2C60">
            <w:pPr>
              <w:rPr>
                <w:color w:val="000000" w:themeColor="text1"/>
                <w:sz w:val="22"/>
                <w:szCs w:val="22"/>
                <w:lang w:val="ro-RO" w:eastAsia="ro-MD"/>
              </w:rPr>
            </w:pPr>
            <w:r w:rsidRPr="00426CC7">
              <w:rPr>
                <w:lang w:val="ru-RU" w:eastAsia="ro-MD"/>
              </w:rPr>
              <w:lastRenderedPageBreak/>
              <w:t>Другие капитальные ценные бумаги или конвертируемые обязательства, котируемые на признанной бирже</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37E9A" w14:textId="77777777" w:rsidR="00CE2C60" w:rsidRPr="00884D1F" w:rsidRDefault="00CE2C60" w:rsidP="00CE2C60">
            <w:pPr>
              <w:jc w:val="center"/>
              <w:rPr>
                <w:color w:val="000000" w:themeColor="text1"/>
                <w:sz w:val="22"/>
                <w:szCs w:val="22"/>
                <w:lang w:val="ro-RO" w:eastAsia="ro-MD"/>
              </w:rPr>
            </w:pPr>
            <w:r w:rsidRPr="00884D1F">
              <w:rPr>
                <w:color w:val="000000" w:themeColor="text1"/>
                <w:sz w:val="22"/>
                <w:szCs w:val="22"/>
                <w:lang w:val="ro-RO" w:eastAsia="ro-MD"/>
              </w:rPr>
              <w:t>42,426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CBCB4" w14:textId="77777777" w:rsidR="00CE2C60" w:rsidRPr="00884D1F" w:rsidRDefault="00CE2C60" w:rsidP="00CE2C60">
            <w:pPr>
              <w:jc w:val="center"/>
              <w:rPr>
                <w:color w:val="000000" w:themeColor="text1"/>
                <w:sz w:val="22"/>
                <w:szCs w:val="22"/>
                <w:lang w:val="ro-RO" w:eastAsia="ro-MD"/>
              </w:rPr>
            </w:pPr>
            <w:r w:rsidRPr="00884D1F">
              <w:rPr>
                <w:color w:val="000000" w:themeColor="text1"/>
                <w:sz w:val="22"/>
                <w:szCs w:val="22"/>
                <w:lang w:val="ro-RO" w:eastAsia="ro-MD"/>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0084D" w14:textId="77777777" w:rsidR="00CE2C60" w:rsidRPr="00884D1F" w:rsidRDefault="00CE2C60" w:rsidP="00CE2C60">
            <w:pPr>
              <w:jc w:val="center"/>
              <w:rPr>
                <w:color w:val="000000" w:themeColor="text1"/>
                <w:sz w:val="22"/>
                <w:szCs w:val="22"/>
                <w:lang w:val="ro-RO" w:eastAsia="ro-MD"/>
              </w:rPr>
            </w:pPr>
            <w:r w:rsidRPr="00884D1F">
              <w:rPr>
                <w:color w:val="000000" w:themeColor="text1"/>
                <w:sz w:val="22"/>
                <w:szCs w:val="22"/>
                <w:lang w:val="ro-RO" w:eastAsia="ro-MD"/>
              </w:rPr>
              <w:t>21,213</w:t>
            </w:r>
          </w:p>
        </w:tc>
      </w:tr>
      <w:tr w:rsidR="0099722D" w:rsidRPr="00884D1F" w14:paraId="434F55BE" w14:textId="77777777" w:rsidTr="0099722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60EA9" w14:textId="4EEC2F5F" w:rsidR="0099722D" w:rsidRPr="00884D1F" w:rsidRDefault="0099722D" w:rsidP="0099722D">
            <w:pPr>
              <w:rPr>
                <w:color w:val="000000" w:themeColor="text1"/>
                <w:sz w:val="22"/>
                <w:szCs w:val="22"/>
                <w:lang w:val="ro-RO" w:eastAsia="ro-MD"/>
              </w:rPr>
            </w:pPr>
            <w:r w:rsidRPr="00426CC7">
              <w:rPr>
                <w:lang w:val="ru-RU" w:eastAsia="ro-MD"/>
              </w:rPr>
              <w:t>Денежные средства</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D11B5" w14:textId="77777777" w:rsidR="0099722D" w:rsidRPr="00884D1F" w:rsidRDefault="0099722D" w:rsidP="0099722D">
            <w:pPr>
              <w:jc w:val="center"/>
              <w:rPr>
                <w:color w:val="000000" w:themeColor="text1"/>
                <w:sz w:val="22"/>
                <w:szCs w:val="22"/>
                <w:lang w:val="ro-RO" w:eastAsia="ro-MD"/>
              </w:rPr>
            </w:pPr>
            <w:r w:rsidRPr="00884D1F">
              <w:rPr>
                <w:color w:val="000000" w:themeColor="text1"/>
                <w:sz w:val="22"/>
                <w:szCs w:val="22"/>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D1BF4" w14:textId="77777777" w:rsidR="0099722D" w:rsidRPr="00884D1F" w:rsidRDefault="0099722D" w:rsidP="0099722D">
            <w:pPr>
              <w:jc w:val="center"/>
              <w:rPr>
                <w:color w:val="000000" w:themeColor="text1"/>
                <w:sz w:val="22"/>
                <w:szCs w:val="22"/>
                <w:lang w:val="ro-RO" w:eastAsia="ro-MD"/>
              </w:rPr>
            </w:pPr>
            <w:r w:rsidRPr="00884D1F">
              <w:rPr>
                <w:color w:val="000000" w:themeColor="text1"/>
                <w:sz w:val="22"/>
                <w:szCs w:val="22"/>
                <w:lang w:val="ro-RO" w:eastAsia="ro-MD"/>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63942" w14:textId="77777777" w:rsidR="0099722D" w:rsidRPr="00884D1F" w:rsidRDefault="0099722D" w:rsidP="0099722D">
            <w:pPr>
              <w:jc w:val="center"/>
              <w:rPr>
                <w:color w:val="000000" w:themeColor="text1"/>
                <w:sz w:val="22"/>
                <w:szCs w:val="22"/>
                <w:lang w:val="ro-RO" w:eastAsia="ro-MD"/>
              </w:rPr>
            </w:pPr>
            <w:r w:rsidRPr="00884D1F">
              <w:rPr>
                <w:color w:val="000000" w:themeColor="text1"/>
                <w:sz w:val="22"/>
                <w:szCs w:val="22"/>
                <w:lang w:val="ro-RO" w:eastAsia="ro-MD"/>
              </w:rPr>
              <w:t>0</w:t>
            </w:r>
          </w:p>
        </w:tc>
      </w:tr>
      <w:tr w:rsidR="0099722D" w:rsidRPr="00884D1F" w14:paraId="664B54CB" w14:textId="77777777" w:rsidTr="0099722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3FC6" w14:textId="20C4714B" w:rsidR="0099722D" w:rsidRPr="00884D1F" w:rsidRDefault="0099722D" w:rsidP="0099722D">
            <w:pPr>
              <w:rPr>
                <w:color w:val="000000" w:themeColor="text1"/>
                <w:sz w:val="22"/>
                <w:szCs w:val="22"/>
                <w:lang w:val="ro-RO" w:eastAsia="ro-MD"/>
              </w:rPr>
            </w:pPr>
            <w:r w:rsidRPr="00426CC7">
              <w:rPr>
                <w:lang w:val="ru-RU" w:eastAsia="ro-MD"/>
              </w:rPr>
              <w:t>Золот</w:t>
            </w:r>
            <w:r>
              <w:rPr>
                <w:lang w:val="ru-RU" w:eastAsia="ro-MD"/>
              </w:rPr>
              <w:t>ые слитки</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8264" w14:textId="77777777" w:rsidR="0099722D" w:rsidRPr="00884D1F" w:rsidRDefault="0099722D" w:rsidP="0099722D">
            <w:pPr>
              <w:jc w:val="center"/>
              <w:rPr>
                <w:color w:val="000000" w:themeColor="text1"/>
                <w:sz w:val="22"/>
                <w:szCs w:val="22"/>
                <w:lang w:val="ro-RO" w:eastAsia="ro-MD"/>
              </w:rPr>
            </w:pPr>
            <w:r w:rsidRPr="00884D1F">
              <w:rPr>
                <w:color w:val="000000" w:themeColor="text1"/>
                <w:sz w:val="22"/>
                <w:szCs w:val="22"/>
                <w:lang w:val="ro-RO" w:eastAsia="ro-MD"/>
              </w:rPr>
              <w:t>28,284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3303" w14:textId="77777777" w:rsidR="0099722D" w:rsidRPr="00884D1F" w:rsidRDefault="0099722D" w:rsidP="0099722D">
            <w:pPr>
              <w:jc w:val="center"/>
              <w:rPr>
                <w:color w:val="000000" w:themeColor="text1"/>
                <w:sz w:val="22"/>
                <w:szCs w:val="22"/>
                <w:lang w:val="ro-RO" w:eastAsia="ro-MD"/>
              </w:rPr>
            </w:pPr>
            <w:r w:rsidRPr="00884D1F">
              <w:rPr>
                <w:color w:val="000000" w:themeColor="text1"/>
                <w:sz w:val="22"/>
                <w:szCs w:val="22"/>
                <w:lang w:val="ro-RO" w:eastAsia="ro-MD"/>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CB728" w14:textId="77777777" w:rsidR="0099722D" w:rsidRPr="00884D1F" w:rsidRDefault="0099722D" w:rsidP="0099722D">
            <w:pPr>
              <w:jc w:val="center"/>
              <w:rPr>
                <w:color w:val="000000" w:themeColor="text1"/>
                <w:sz w:val="22"/>
                <w:szCs w:val="22"/>
                <w:lang w:val="ro-RO" w:eastAsia="ro-MD"/>
              </w:rPr>
            </w:pPr>
            <w:r w:rsidRPr="00884D1F">
              <w:rPr>
                <w:color w:val="000000" w:themeColor="text1"/>
                <w:sz w:val="22"/>
                <w:szCs w:val="22"/>
                <w:lang w:val="ro-RO" w:eastAsia="ro-MD"/>
              </w:rPr>
              <w:t>14,142</w:t>
            </w:r>
          </w:p>
        </w:tc>
      </w:tr>
    </w:tbl>
    <w:p w14:paraId="7BB686EE" w14:textId="79EA0ABA" w:rsidR="00BB2430" w:rsidRPr="00884D1F" w:rsidRDefault="00BB2430" w:rsidP="00BB2430">
      <w:pPr>
        <w:tabs>
          <w:tab w:val="left" w:pos="567"/>
        </w:tabs>
        <w:spacing w:before="80"/>
        <w:jc w:val="both"/>
        <w:rPr>
          <w:color w:val="000000" w:themeColor="text1"/>
          <w:sz w:val="22"/>
          <w:szCs w:val="22"/>
          <w:lang w:val="ro-MD"/>
        </w:rPr>
      </w:pPr>
      <w:r w:rsidRPr="00884D1F">
        <w:rPr>
          <w:color w:val="000000" w:themeColor="text1"/>
          <w:sz w:val="22"/>
          <w:szCs w:val="22"/>
          <w:lang w:val="ro-MD"/>
        </w:rPr>
        <w:t xml:space="preserve"> </w:t>
      </w:r>
    </w:p>
    <w:p w14:paraId="4C8727E8" w14:textId="45CF6EB9" w:rsidR="008A1582" w:rsidRPr="00070A8A" w:rsidRDefault="004F72C3" w:rsidP="00CB36D2">
      <w:pPr>
        <w:pStyle w:val="ListParagraph"/>
        <w:numPr>
          <w:ilvl w:val="2"/>
          <w:numId w:val="27"/>
        </w:numPr>
        <w:tabs>
          <w:tab w:val="left" w:pos="567"/>
        </w:tabs>
        <w:spacing w:before="80"/>
        <w:ind w:left="0" w:firstLine="567"/>
        <w:contextualSpacing w:val="0"/>
        <w:jc w:val="both"/>
        <w:rPr>
          <w:color w:val="000000" w:themeColor="text1"/>
          <w:sz w:val="22"/>
          <w:szCs w:val="22"/>
          <w:lang w:val="ru-RU"/>
        </w:rPr>
      </w:pPr>
      <w:r w:rsidRPr="00070A8A">
        <w:rPr>
          <w:color w:val="000000" w:themeColor="text1"/>
          <w:sz w:val="22"/>
          <w:szCs w:val="22"/>
          <w:lang w:val="ru-RU"/>
        </w:rPr>
        <w:t xml:space="preserve">название </w:t>
      </w:r>
      <w:r w:rsidR="00881D35" w:rsidRPr="00070A8A">
        <w:rPr>
          <w:color w:val="000000" w:themeColor="text1"/>
          <w:sz w:val="22"/>
          <w:szCs w:val="22"/>
          <w:lang w:val="ru-RU"/>
        </w:rPr>
        <w:t xml:space="preserve">таблицы № </w:t>
      </w:r>
      <w:r w:rsidR="008A1582" w:rsidRPr="00070A8A">
        <w:rPr>
          <w:color w:val="000000" w:themeColor="text1"/>
          <w:sz w:val="22"/>
          <w:szCs w:val="22"/>
          <w:lang w:val="ru-RU"/>
        </w:rPr>
        <w:t xml:space="preserve">4 </w:t>
      </w:r>
      <w:r w:rsidR="00881D35" w:rsidRPr="00070A8A">
        <w:rPr>
          <w:color w:val="000000" w:themeColor="text1"/>
          <w:sz w:val="22"/>
          <w:szCs w:val="22"/>
          <w:lang w:val="ru-RU"/>
        </w:rPr>
        <w:t>дополнить текстом «</w:t>
      </w:r>
      <w:r w:rsidR="008A1582" w:rsidRPr="00070A8A">
        <w:rPr>
          <w:b/>
          <w:bCs/>
          <w:color w:val="000000" w:themeColor="text1"/>
          <w:sz w:val="22"/>
          <w:szCs w:val="22"/>
          <w:lang w:val="ru-RU" w:eastAsia="ro-MD"/>
        </w:rPr>
        <w:t>(</w:t>
      </w:r>
      <w:proofErr w:type="spellStart"/>
      <w:r w:rsidR="008A1582" w:rsidRPr="00070A8A">
        <w:rPr>
          <w:b/>
          <w:bCs/>
          <w:color w:val="000000" w:themeColor="text1"/>
          <w:sz w:val="22"/>
          <w:szCs w:val="22"/>
          <w:lang w:val="ru-RU" w:eastAsia="ro-MD"/>
        </w:rPr>
        <w:t>H</w:t>
      </w:r>
      <w:r w:rsidR="008A1582" w:rsidRPr="00070A8A">
        <w:rPr>
          <w:b/>
          <w:bCs/>
          <w:color w:val="000000" w:themeColor="text1"/>
          <w:sz w:val="22"/>
          <w:szCs w:val="22"/>
          <w:vertAlign w:val="subscript"/>
          <w:lang w:val="ru-RU" w:eastAsia="ro-MD"/>
        </w:rPr>
        <w:t>fx</w:t>
      </w:r>
      <w:proofErr w:type="spellEnd"/>
      <w:r w:rsidR="008A1582" w:rsidRPr="00070A8A">
        <w:rPr>
          <w:b/>
          <w:bCs/>
          <w:color w:val="000000" w:themeColor="text1"/>
          <w:sz w:val="22"/>
          <w:szCs w:val="22"/>
          <w:lang w:val="ru-RU" w:eastAsia="ro-MD"/>
        </w:rPr>
        <w:t>)</w:t>
      </w:r>
      <w:r w:rsidR="00881D35" w:rsidRPr="00070A8A">
        <w:rPr>
          <w:color w:val="000000" w:themeColor="text1"/>
          <w:sz w:val="22"/>
          <w:szCs w:val="22"/>
          <w:lang w:val="ru-RU" w:eastAsia="ro-MD"/>
        </w:rPr>
        <w:t>»</w:t>
      </w:r>
      <w:r w:rsidR="008A1582" w:rsidRPr="00070A8A">
        <w:rPr>
          <w:color w:val="000000" w:themeColor="text1"/>
          <w:sz w:val="22"/>
          <w:szCs w:val="22"/>
          <w:lang w:val="ru-RU" w:eastAsia="ro-MD"/>
        </w:rPr>
        <w:t>.</w:t>
      </w:r>
    </w:p>
    <w:p w14:paraId="0BB88D20" w14:textId="7890AA92" w:rsidR="0091180D" w:rsidRPr="00070A8A" w:rsidRDefault="00070A8A"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070A8A">
        <w:rPr>
          <w:color w:val="000000" w:themeColor="text1"/>
          <w:sz w:val="22"/>
          <w:szCs w:val="22"/>
          <w:lang w:val="ru-RU"/>
        </w:rPr>
        <w:t xml:space="preserve">Дополнить пунктом </w:t>
      </w:r>
      <w:r w:rsidR="00483623" w:rsidRPr="00070A8A">
        <w:rPr>
          <w:color w:val="000000" w:themeColor="text1"/>
          <w:sz w:val="22"/>
          <w:szCs w:val="22"/>
          <w:lang w:val="ru-RU"/>
        </w:rPr>
        <w:t>96</w:t>
      </w:r>
      <w:r w:rsidR="00483623" w:rsidRPr="00070A8A">
        <w:rPr>
          <w:color w:val="000000" w:themeColor="text1"/>
          <w:sz w:val="22"/>
          <w:szCs w:val="22"/>
          <w:vertAlign w:val="superscript"/>
          <w:lang w:val="ru-RU"/>
        </w:rPr>
        <w:t>1</w:t>
      </w:r>
      <w:r w:rsidR="00483623" w:rsidRPr="00070A8A">
        <w:rPr>
          <w:color w:val="000000" w:themeColor="text1"/>
          <w:sz w:val="22"/>
          <w:szCs w:val="22"/>
          <w:lang w:val="ru-RU"/>
        </w:rPr>
        <w:t xml:space="preserve"> </w:t>
      </w:r>
      <w:r w:rsidRPr="00070A8A">
        <w:rPr>
          <w:color w:val="000000" w:themeColor="text1"/>
          <w:sz w:val="22"/>
          <w:szCs w:val="22"/>
          <w:lang w:val="ru-RU"/>
        </w:rPr>
        <w:t>следующего содержания</w:t>
      </w:r>
      <w:r w:rsidR="00483623" w:rsidRPr="00070A8A">
        <w:rPr>
          <w:color w:val="000000" w:themeColor="text1"/>
          <w:sz w:val="22"/>
          <w:szCs w:val="22"/>
          <w:lang w:val="ru-RU"/>
        </w:rPr>
        <w:t>:</w:t>
      </w:r>
    </w:p>
    <w:p w14:paraId="7023DDC0" w14:textId="25625AAD" w:rsidR="00483623" w:rsidRPr="0064598D" w:rsidRDefault="00070A8A" w:rsidP="00483623">
      <w:pPr>
        <w:tabs>
          <w:tab w:val="left" w:pos="567"/>
        </w:tabs>
        <w:jc w:val="both"/>
        <w:rPr>
          <w:color w:val="000000" w:themeColor="text1"/>
          <w:sz w:val="22"/>
          <w:szCs w:val="22"/>
          <w:lang w:val="ru-RU"/>
        </w:rPr>
      </w:pPr>
      <w:r w:rsidRPr="0064598D">
        <w:rPr>
          <w:color w:val="000000" w:themeColor="text1"/>
          <w:sz w:val="22"/>
          <w:szCs w:val="22"/>
          <w:lang w:val="ru-RU"/>
        </w:rPr>
        <w:t>«</w:t>
      </w:r>
      <w:r w:rsidR="00483623" w:rsidRPr="0064598D">
        <w:rPr>
          <w:b/>
          <w:bCs/>
          <w:color w:val="000000" w:themeColor="text1"/>
          <w:sz w:val="22"/>
          <w:szCs w:val="22"/>
          <w:lang w:val="ru-RU" w:eastAsia="ro-MD"/>
        </w:rPr>
        <w:t>96</w:t>
      </w:r>
      <w:r w:rsidR="00483623" w:rsidRPr="0064598D">
        <w:rPr>
          <w:b/>
          <w:bCs/>
          <w:color w:val="000000" w:themeColor="text1"/>
          <w:sz w:val="22"/>
          <w:szCs w:val="22"/>
          <w:vertAlign w:val="superscript"/>
          <w:lang w:val="ru-RU" w:eastAsia="ro-MD"/>
        </w:rPr>
        <w:t>1</w:t>
      </w:r>
      <w:r w:rsidR="00483623" w:rsidRPr="0064598D">
        <w:rPr>
          <w:b/>
          <w:bCs/>
          <w:color w:val="000000" w:themeColor="text1"/>
          <w:sz w:val="22"/>
          <w:szCs w:val="22"/>
          <w:lang w:val="ru-RU" w:eastAsia="ro-MD"/>
        </w:rPr>
        <w:t>.</w:t>
      </w:r>
      <w:r w:rsidR="00483623" w:rsidRPr="0064598D">
        <w:rPr>
          <w:color w:val="000000" w:themeColor="text1"/>
          <w:sz w:val="22"/>
          <w:szCs w:val="22"/>
          <w:lang w:val="ru-RU" w:eastAsia="ro-MD"/>
        </w:rPr>
        <w:t xml:space="preserve"> </w:t>
      </w:r>
      <w:r w:rsidR="0064598D" w:rsidRPr="0064598D">
        <w:rPr>
          <w:color w:val="000000" w:themeColor="text1"/>
          <w:sz w:val="22"/>
          <w:szCs w:val="22"/>
          <w:lang w:val="ru-RU" w:eastAsia="ro-MD"/>
        </w:rPr>
        <w:t xml:space="preserve">Если банк имеет сделку или набор </w:t>
      </w:r>
      <w:proofErr w:type="spellStart"/>
      <w:r w:rsidR="0064598D" w:rsidRPr="0064598D">
        <w:rPr>
          <w:color w:val="000000" w:themeColor="text1"/>
          <w:sz w:val="22"/>
          <w:szCs w:val="22"/>
          <w:lang w:val="ru-RU" w:eastAsia="ro-MD"/>
        </w:rPr>
        <w:t>взаимозачетных</w:t>
      </w:r>
      <w:proofErr w:type="spellEnd"/>
      <w:r w:rsidR="0064598D" w:rsidRPr="0064598D">
        <w:rPr>
          <w:color w:val="000000" w:themeColor="text1"/>
          <w:sz w:val="22"/>
          <w:szCs w:val="22"/>
          <w:lang w:val="ru-RU" w:eastAsia="ro-MD"/>
        </w:rPr>
        <w:t xml:space="preserve"> операций, отвечающий критериям стоимости подверженности для наборов </w:t>
      </w:r>
      <w:proofErr w:type="spellStart"/>
      <w:r w:rsidR="0064598D" w:rsidRPr="0064598D">
        <w:rPr>
          <w:color w:val="000000" w:themeColor="text1"/>
          <w:sz w:val="22"/>
          <w:szCs w:val="22"/>
          <w:lang w:val="ru-RU" w:eastAsia="ro-MD"/>
        </w:rPr>
        <w:t>взаимозачетных</w:t>
      </w:r>
      <w:proofErr w:type="spellEnd"/>
      <w:r w:rsidR="0064598D" w:rsidRPr="0064598D">
        <w:rPr>
          <w:color w:val="000000" w:themeColor="text1"/>
          <w:sz w:val="22"/>
          <w:szCs w:val="22"/>
          <w:lang w:val="ru-RU" w:eastAsia="ro-MD"/>
        </w:rPr>
        <w:t xml:space="preserve"> операций, регулируемых маржинальным договором, заключенным в соответствии с нормативными актами Национального банка Молдовы, касающимися обработки кредитного риска контрагента, минимальный период удержания должен быть согласован с периодом маржинального риска, который применялся бы в соответствии с этими критериями</w:t>
      </w:r>
      <w:r w:rsidR="00483623" w:rsidRPr="0064598D">
        <w:rPr>
          <w:color w:val="000000" w:themeColor="text1"/>
          <w:sz w:val="22"/>
          <w:szCs w:val="22"/>
          <w:lang w:val="ru-RU" w:eastAsia="ro-MD"/>
        </w:rPr>
        <w:t>.</w:t>
      </w:r>
      <w:r w:rsidR="0064598D" w:rsidRPr="0064598D">
        <w:rPr>
          <w:color w:val="000000" w:themeColor="text1"/>
          <w:sz w:val="22"/>
          <w:szCs w:val="22"/>
          <w:lang w:val="ru-RU" w:eastAsia="ro-MD"/>
        </w:rPr>
        <w:t>»</w:t>
      </w:r>
      <w:r w:rsidR="00483623" w:rsidRPr="0064598D">
        <w:rPr>
          <w:color w:val="000000" w:themeColor="text1"/>
          <w:sz w:val="22"/>
          <w:szCs w:val="22"/>
          <w:lang w:val="ru-RU" w:eastAsia="ro-MD"/>
        </w:rPr>
        <w:t>.</w:t>
      </w:r>
    </w:p>
    <w:p w14:paraId="5DDD9D94" w14:textId="2FFF5E6F" w:rsidR="00483623" w:rsidRPr="00C66B89" w:rsidRDefault="009C1FD8"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 пункте</w:t>
      </w:r>
      <w:r w:rsidR="00BB2430" w:rsidRPr="00884D1F">
        <w:rPr>
          <w:color w:val="000000" w:themeColor="text1"/>
          <w:sz w:val="22"/>
          <w:szCs w:val="22"/>
          <w:lang w:val="ro-MD"/>
        </w:rPr>
        <w:t xml:space="preserve"> 104</w:t>
      </w:r>
      <w:r>
        <w:rPr>
          <w:color w:val="000000" w:themeColor="text1"/>
          <w:sz w:val="22"/>
          <w:szCs w:val="22"/>
          <w:lang w:val="ru-RU"/>
        </w:rPr>
        <w:t>, подпункт</w:t>
      </w:r>
      <w:r w:rsidR="00BB2430" w:rsidRPr="00884D1F">
        <w:rPr>
          <w:color w:val="000000" w:themeColor="text1"/>
          <w:sz w:val="22"/>
          <w:szCs w:val="22"/>
          <w:lang w:val="ro-MD"/>
        </w:rPr>
        <w:t xml:space="preserve"> 7)</w:t>
      </w:r>
      <w:r w:rsidR="006952B7" w:rsidRPr="00884D1F">
        <w:rPr>
          <w:color w:val="000000" w:themeColor="text1"/>
          <w:sz w:val="22"/>
          <w:szCs w:val="22"/>
          <w:lang w:val="ro-MD"/>
        </w:rPr>
        <w:t>,</w:t>
      </w:r>
      <w:r w:rsidR="00BB2430" w:rsidRPr="00884D1F">
        <w:rPr>
          <w:color w:val="000000" w:themeColor="text1"/>
          <w:sz w:val="22"/>
          <w:szCs w:val="22"/>
          <w:lang w:val="ro-MD"/>
        </w:rPr>
        <w:t xml:space="preserve"> </w:t>
      </w:r>
      <w:r>
        <w:rPr>
          <w:color w:val="000000" w:themeColor="text1"/>
          <w:sz w:val="22"/>
          <w:szCs w:val="22"/>
          <w:lang w:val="ru-RU"/>
        </w:rPr>
        <w:t>текст «по поставке маржи» заменить текстом «</w:t>
      </w:r>
      <w:r w:rsidRPr="0081700B">
        <w:rPr>
          <w:color w:val="000000" w:themeColor="text1"/>
          <w:sz w:val="22"/>
          <w:szCs w:val="22"/>
          <w:lang w:val="ru-RU"/>
        </w:rPr>
        <w:t>выполнения требования о внесении дополнительного обеспечения</w:t>
      </w:r>
      <w:r>
        <w:rPr>
          <w:color w:val="000000" w:themeColor="text1"/>
          <w:sz w:val="22"/>
          <w:szCs w:val="22"/>
          <w:lang w:val="ru-RU"/>
        </w:rPr>
        <w:t>»</w:t>
      </w:r>
      <w:r w:rsidR="00BF76A9" w:rsidRPr="00884D1F">
        <w:rPr>
          <w:color w:val="000000" w:themeColor="text1"/>
          <w:sz w:val="22"/>
          <w:szCs w:val="22"/>
          <w:lang w:val="ro-RO" w:eastAsia="ro-MD"/>
        </w:rPr>
        <w:t>.</w:t>
      </w:r>
    </w:p>
    <w:p w14:paraId="20443860" w14:textId="57FB85A1" w:rsidR="00BF76A9" w:rsidRPr="00DA6F26" w:rsidRDefault="0085496D"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DA6F26">
        <w:rPr>
          <w:color w:val="000000" w:themeColor="text1"/>
          <w:sz w:val="22"/>
          <w:szCs w:val="22"/>
          <w:lang w:val="ru-RU" w:eastAsia="ro-MD"/>
        </w:rPr>
        <w:t xml:space="preserve">Дополнить пунктом </w:t>
      </w:r>
      <w:r w:rsidR="00BF76A9" w:rsidRPr="00DA6F26">
        <w:rPr>
          <w:color w:val="000000" w:themeColor="text1"/>
          <w:sz w:val="22"/>
          <w:szCs w:val="22"/>
          <w:lang w:val="ru-RU" w:eastAsia="ro-MD"/>
        </w:rPr>
        <w:t>104</w:t>
      </w:r>
      <w:r w:rsidR="00BF76A9" w:rsidRPr="00DA6F26">
        <w:rPr>
          <w:color w:val="000000" w:themeColor="text1"/>
          <w:sz w:val="22"/>
          <w:szCs w:val="22"/>
          <w:vertAlign w:val="superscript"/>
          <w:lang w:val="ru-RU" w:eastAsia="ro-MD"/>
        </w:rPr>
        <w:t>1</w:t>
      </w:r>
      <w:r w:rsidR="00BF76A9" w:rsidRPr="00DA6F26">
        <w:rPr>
          <w:color w:val="000000" w:themeColor="text1"/>
          <w:sz w:val="22"/>
          <w:szCs w:val="22"/>
          <w:lang w:val="ru-RU" w:eastAsia="ro-MD"/>
        </w:rPr>
        <w:t xml:space="preserve"> </w:t>
      </w:r>
      <w:r w:rsidRPr="00DA6F26">
        <w:rPr>
          <w:color w:val="000000" w:themeColor="text1"/>
          <w:sz w:val="22"/>
          <w:szCs w:val="22"/>
          <w:lang w:val="ru-RU"/>
        </w:rPr>
        <w:t>следующего содержания</w:t>
      </w:r>
      <w:r w:rsidR="00BF76A9" w:rsidRPr="00DA6F26">
        <w:rPr>
          <w:color w:val="000000" w:themeColor="text1"/>
          <w:sz w:val="22"/>
          <w:szCs w:val="22"/>
          <w:lang w:val="ru-RU" w:eastAsia="ro-MD"/>
        </w:rPr>
        <w:t>:</w:t>
      </w:r>
    </w:p>
    <w:p w14:paraId="0027C5C0" w14:textId="71BE877B" w:rsidR="00BF76A9" w:rsidRPr="00DA6F26" w:rsidRDefault="0085496D" w:rsidP="00B65F07">
      <w:pPr>
        <w:tabs>
          <w:tab w:val="left" w:pos="567"/>
        </w:tabs>
        <w:jc w:val="both"/>
        <w:rPr>
          <w:color w:val="000000" w:themeColor="text1"/>
          <w:sz w:val="22"/>
          <w:szCs w:val="22"/>
          <w:lang w:val="ru-RU"/>
        </w:rPr>
      </w:pPr>
      <w:r w:rsidRPr="00DA6F26">
        <w:rPr>
          <w:b/>
          <w:bCs/>
          <w:color w:val="000000" w:themeColor="text1"/>
          <w:sz w:val="22"/>
          <w:szCs w:val="22"/>
          <w:lang w:val="ru-RU" w:eastAsia="ro-MD"/>
        </w:rPr>
        <w:t>«</w:t>
      </w:r>
      <w:r w:rsidR="00BF76A9" w:rsidRPr="00DA6F26">
        <w:rPr>
          <w:b/>
          <w:bCs/>
          <w:color w:val="000000" w:themeColor="text1"/>
          <w:sz w:val="22"/>
          <w:szCs w:val="22"/>
          <w:lang w:val="ru-RU" w:eastAsia="ro-MD"/>
        </w:rPr>
        <w:t>104</w:t>
      </w:r>
      <w:r w:rsidR="00BF76A9" w:rsidRPr="00DA6F26">
        <w:rPr>
          <w:b/>
          <w:bCs/>
          <w:color w:val="000000" w:themeColor="text1"/>
          <w:sz w:val="22"/>
          <w:szCs w:val="22"/>
          <w:vertAlign w:val="superscript"/>
          <w:lang w:val="ru-RU" w:eastAsia="ro-MD"/>
        </w:rPr>
        <w:t>1</w:t>
      </w:r>
      <w:r w:rsidR="00125FDC" w:rsidRPr="00DA6F26">
        <w:rPr>
          <w:b/>
          <w:bCs/>
          <w:color w:val="000000" w:themeColor="text1"/>
          <w:sz w:val="22"/>
          <w:szCs w:val="22"/>
          <w:vertAlign w:val="superscript"/>
          <w:lang w:val="ru-RU" w:eastAsia="ro-MD"/>
        </w:rPr>
        <w:t xml:space="preserve"> </w:t>
      </w:r>
      <w:r w:rsidR="00125FDC" w:rsidRPr="00DA6F26">
        <w:rPr>
          <w:color w:val="000000" w:themeColor="text1"/>
          <w:sz w:val="22"/>
          <w:szCs w:val="22"/>
          <w:lang w:val="ru-RU" w:eastAsia="ro-MD"/>
        </w:rPr>
        <w:t>Банки, использующие подход внутренних моделей, изложенный в разделе 2</w:t>
      </w:r>
      <w:r w:rsidR="00125FDC" w:rsidRPr="00DA6F26">
        <w:rPr>
          <w:color w:val="000000" w:themeColor="text1"/>
          <w:sz w:val="22"/>
          <w:szCs w:val="22"/>
          <w:vertAlign w:val="superscript"/>
          <w:lang w:val="ru-RU" w:eastAsia="ro-MD"/>
        </w:rPr>
        <w:t>1</w:t>
      </w:r>
      <w:r w:rsidR="00125FDC" w:rsidRPr="00DA6F26">
        <w:rPr>
          <w:color w:val="000000" w:themeColor="text1"/>
          <w:sz w:val="22"/>
          <w:szCs w:val="22"/>
          <w:lang w:val="ru-RU" w:eastAsia="ro-MD"/>
        </w:rPr>
        <w:t xml:space="preserve"> настоящей главы, не должны применять методы, описанные в этом части</w:t>
      </w:r>
      <w:r w:rsidR="00BF76A9" w:rsidRPr="00DA6F26">
        <w:rPr>
          <w:color w:val="000000" w:themeColor="text1"/>
          <w:sz w:val="22"/>
          <w:szCs w:val="22"/>
          <w:lang w:val="ru-RU" w:eastAsia="ro-MD"/>
        </w:rPr>
        <w:t>.</w:t>
      </w:r>
      <w:r w:rsidR="00125FDC" w:rsidRPr="00DA6F26">
        <w:rPr>
          <w:color w:val="000000" w:themeColor="text1"/>
          <w:sz w:val="22"/>
          <w:szCs w:val="22"/>
          <w:lang w:val="ru-RU" w:eastAsia="ro-MD"/>
        </w:rPr>
        <w:t>»</w:t>
      </w:r>
      <w:r w:rsidR="00BF76A9" w:rsidRPr="00DA6F26">
        <w:rPr>
          <w:color w:val="000000" w:themeColor="text1"/>
          <w:sz w:val="22"/>
          <w:szCs w:val="22"/>
          <w:lang w:val="ru-RU" w:eastAsia="ro-MD"/>
        </w:rPr>
        <w:t>.</w:t>
      </w:r>
    </w:p>
    <w:p w14:paraId="7F3AC37C" w14:textId="3CB096D2" w:rsidR="00BF76A9" w:rsidRPr="00DA6F26" w:rsidRDefault="00125FDC"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DA6F26">
        <w:rPr>
          <w:color w:val="000000" w:themeColor="text1"/>
          <w:sz w:val="22"/>
          <w:szCs w:val="22"/>
          <w:lang w:val="ru-RU" w:eastAsia="ro-MD"/>
        </w:rPr>
        <w:t>Пункт</w:t>
      </w:r>
      <w:r w:rsidR="00E83175" w:rsidRPr="00DA6F26">
        <w:rPr>
          <w:color w:val="000000" w:themeColor="text1"/>
          <w:sz w:val="22"/>
          <w:szCs w:val="22"/>
          <w:lang w:val="ru-RU" w:eastAsia="ro-MD"/>
        </w:rPr>
        <w:t xml:space="preserve"> 105:</w:t>
      </w:r>
    </w:p>
    <w:p w14:paraId="118F389E" w14:textId="4546FFFA" w:rsidR="00E83175" w:rsidRPr="00DA6F26" w:rsidRDefault="00125FDC" w:rsidP="00B65F07">
      <w:pPr>
        <w:pStyle w:val="ListParagraph"/>
        <w:numPr>
          <w:ilvl w:val="2"/>
          <w:numId w:val="27"/>
        </w:numPr>
        <w:tabs>
          <w:tab w:val="left" w:pos="567"/>
        </w:tabs>
        <w:spacing w:before="80"/>
        <w:ind w:left="0" w:firstLine="567"/>
        <w:contextualSpacing w:val="0"/>
        <w:jc w:val="both"/>
        <w:rPr>
          <w:color w:val="000000" w:themeColor="text1"/>
          <w:sz w:val="22"/>
          <w:szCs w:val="22"/>
          <w:lang w:val="ru-RU"/>
        </w:rPr>
      </w:pPr>
      <w:r w:rsidRPr="00DA6F26">
        <w:rPr>
          <w:color w:val="000000" w:themeColor="text1"/>
          <w:sz w:val="22"/>
          <w:szCs w:val="22"/>
          <w:lang w:val="ru-RU"/>
        </w:rPr>
        <w:t>в подпунктах</w:t>
      </w:r>
      <w:r w:rsidR="00C01A5F" w:rsidRPr="00DA6F26">
        <w:rPr>
          <w:color w:val="000000" w:themeColor="text1"/>
          <w:sz w:val="22"/>
          <w:szCs w:val="22"/>
          <w:lang w:val="ru-RU"/>
        </w:rPr>
        <w:t xml:space="preserve"> 2) - 5)</w:t>
      </w:r>
      <w:r w:rsidR="00DA6F26" w:rsidRPr="00DA6F26">
        <w:rPr>
          <w:color w:val="000000" w:themeColor="text1"/>
          <w:sz w:val="22"/>
          <w:szCs w:val="22"/>
          <w:lang w:val="ru-RU"/>
        </w:rPr>
        <w:t xml:space="preserve"> слова «Республики Молдова» исключить</w:t>
      </w:r>
      <w:r w:rsidR="00C01A5F" w:rsidRPr="00DA6F26">
        <w:rPr>
          <w:color w:val="000000" w:themeColor="text1"/>
          <w:sz w:val="22"/>
          <w:szCs w:val="22"/>
          <w:lang w:val="ru-RU"/>
        </w:rPr>
        <w:t>;</w:t>
      </w:r>
    </w:p>
    <w:p w14:paraId="620E1A6C" w14:textId="0FAF0B4E" w:rsidR="00C01A5F" w:rsidRPr="00DA6F26" w:rsidRDefault="00DA6F26" w:rsidP="00B65F07">
      <w:pPr>
        <w:pStyle w:val="ListParagraph"/>
        <w:numPr>
          <w:ilvl w:val="2"/>
          <w:numId w:val="27"/>
        </w:numPr>
        <w:tabs>
          <w:tab w:val="left" w:pos="0"/>
        </w:tabs>
        <w:spacing w:before="80"/>
        <w:ind w:left="0" w:firstLine="567"/>
        <w:contextualSpacing w:val="0"/>
        <w:jc w:val="both"/>
        <w:rPr>
          <w:color w:val="000000" w:themeColor="text1"/>
          <w:sz w:val="22"/>
          <w:szCs w:val="22"/>
          <w:lang w:val="ru-RU"/>
        </w:rPr>
      </w:pPr>
      <w:r w:rsidRPr="00DA6F26">
        <w:rPr>
          <w:color w:val="000000" w:themeColor="text1"/>
          <w:sz w:val="22"/>
          <w:szCs w:val="22"/>
          <w:lang w:val="ru-RU"/>
        </w:rPr>
        <w:t>дополнить подпунктами</w:t>
      </w:r>
      <w:r w:rsidR="00C01A5F" w:rsidRPr="00DA6F26">
        <w:rPr>
          <w:color w:val="000000" w:themeColor="text1"/>
          <w:sz w:val="22"/>
          <w:szCs w:val="22"/>
          <w:lang w:val="ru-RU"/>
        </w:rPr>
        <w:t xml:space="preserve"> 2</w:t>
      </w:r>
      <w:r w:rsidR="00C01A5F" w:rsidRPr="00DA6F26">
        <w:rPr>
          <w:color w:val="000000" w:themeColor="text1"/>
          <w:sz w:val="22"/>
          <w:szCs w:val="22"/>
          <w:vertAlign w:val="superscript"/>
          <w:lang w:val="ru-RU"/>
        </w:rPr>
        <w:t>1</w:t>
      </w:r>
      <w:r w:rsidR="00C01A5F" w:rsidRPr="00DA6F26">
        <w:rPr>
          <w:color w:val="000000" w:themeColor="text1"/>
          <w:sz w:val="22"/>
          <w:szCs w:val="22"/>
          <w:lang w:val="ru-RU"/>
        </w:rPr>
        <w:t xml:space="preserve">) </w:t>
      </w:r>
      <w:r w:rsidRPr="00DA6F26">
        <w:rPr>
          <w:color w:val="000000" w:themeColor="text1"/>
          <w:sz w:val="22"/>
          <w:szCs w:val="22"/>
          <w:lang w:val="ru-RU"/>
        </w:rPr>
        <w:t>и</w:t>
      </w:r>
      <w:r w:rsidR="00C01A5F" w:rsidRPr="00DA6F26">
        <w:rPr>
          <w:color w:val="000000" w:themeColor="text1"/>
          <w:sz w:val="22"/>
          <w:szCs w:val="22"/>
          <w:lang w:val="ru-RU"/>
        </w:rPr>
        <w:t xml:space="preserve"> 2</w:t>
      </w:r>
      <w:r w:rsidR="00C01A5F" w:rsidRPr="00DA6F26">
        <w:rPr>
          <w:color w:val="000000" w:themeColor="text1"/>
          <w:sz w:val="22"/>
          <w:szCs w:val="22"/>
          <w:vertAlign w:val="superscript"/>
          <w:lang w:val="ru-RU"/>
        </w:rPr>
        <w:t>2</w:t>
      </w:r>
      <w:r w:rsidR="00C01A5F" w:rsidRPr="00DA6F26">
        <w:rPr>
          <w:color w:val="000000" w:themeColor="text1"/>
          <w:sz w:val="22"/>
          <w:szCs w:val="22"/>
          <w:lang w:val="ru-RU"/>
        </w:rPr>
        <w:t xml:space="preserve">) </w:t>
      </w:r>
      <w:r w:rsidR="0085496D" w:rsidRPr="00DA6F26">
        <w:rPr>
          <w:color w:val="000000" w:themeColor="text1"/>
          <w:sz w:val="22"/>
          <w:szCs w:val="22"/>
          <w:lang w:val="ru-RU"/>
        </w:rPr>
        <w:t>следующего содержания</w:t>
      </w:r>
      <w:r w:rsidR="00C01A5F" w:rsidRPr="00DA6F26">
        <w:rPr>
          <w:color w:val="000000" w:themeColor="text1"/>
          <w:sz w:val="22"/>
          <w:szCs w:val="22"/>
          <w:lang w:val="ru-RU"/>
        </w:rPr>
        <w:t>:</w:t>
      </w:r>
    </w:p>
    <w:p w14:paraId="4542832C" w14:textId="511E0228" w:rsidR="00C01A5F" w:rsidRPr="00884D1F" w:rsidRDefault="00DA6F26" w:rsidP="00C01A5F">
      <w:pPr>
        <w:jc w:val="both"/>
        <w:rPr>
          <w:color w:val="000000" w:themeColor="text1"/>
          <w:sz w:val="22"/>
          <w:szCs w:val="22"/>
          <w:lang w:val="ro-RO" w:eastAsia="ro-MD"/>
        </w:rPr>
      </w:pPr>
      <w:r>
        <w:rPr>
          <w:color w:val="000000" w:themeColor="text1"/>
          <w:sz w:val="22"/>
          <w:szCs w:val="22"/>
          <w:lang w:val="ru-RU" w:eastAsia="ro-MD"/>
        </w:rPr>
        <w:t>«</w:t>
      </w:r>
      <w:r w:rsidR="00C01A5F" w:rsidRPr="00884D1F">
        <w:rPr>
          <w:color w:val="000000" w:themeColor="text1"/>
          <w:sz w:val="22"/>
          <w:szCs w:val="22"/>
          <w:lang w:val="ro-RO" w:eastAsia="ro-MD"/>
        </w:rPr>
        <w:t>2</w:t>
      </w:r>
      <w:r w:rsidR="00C01A5F" w:rsidRPr="00884D1F">
        <w:rPr>
          <w:color w:val="000000" w:themeColor="text1"/>
          <w:sz w:val="22"/>
          <w:szCs w:val="22"/>
          <w:vertAlign w:val="superscript"/>
          <w:lang w:val="ro-RO" w:eastAsia="ro-MD"/>
        </w:rPr>
        <w:t>1</w:t>
      </w:r>
      <w:r w:rsidR="00C01A5F" w:rsidRPr="00884D1F">
        <w:rPr>
          <w:color w:val="000000" w:themeColor="text1"/>
          <w:sz w:val="22"/>
          <w:szCs w:val="22"/>
          <w:lang w:val="ro-RO" w:eastAsia="ro-MD"/>
        </w:rPr>
        <w:t xml:space="preserve">) </w:t>
      </w:r>
      <w:r w:rsidR="004D368F">
        <w:rPr>
          <w:color w:val="000000" w:themeColor="text1"/>
          <w:sz w:val="22"/>
          <w:szCs w:val="22"/>
          <w:lang w:val="ru-RU" w:eastAsia="ro-MD"/>
        </w:rPr>
        <w:t>инвестиционные общества</w:t>
      </w:r>
      <w:r w:rsidR="00C01A5F" w:rsidRPr="00884D1F">
        <w:rPr>
          <w:color w:val="000000" w:themeColor="text1"/>
          <w:sz w:val="22"/>
          <w:szCs w:val="22"/>
          <w:lang w:val="ro-RO" w:eastAsia="ro-MD"/>
        </w:rPr>
        <w:t>;</w:t>
      </w:r>
    </w:p>
    <w:p w14:paraId="7C6A3B07" w14:textId="420989F3" w:rsidR="00C01A5F" w:rsidRPr="00105F4B" w:rsidRDefault="00C01A5F" w:rsidP="00C01A5F">
      <w:pPr>
        <w:tabs>
          <w:tab w:val="left" w:pos="567"/>
        </w:tabs>
        <w:spacing w:before="80"/>
        <w:jc w:val="both"/>
        <w:rPr>
          <w:color w:val="000000" w:themeColor="text1"/>
          <w:sz w:val="22"/>
          <w:szCs w:val="22"/>
          <w:lang w:val="ru-RU"/>
        </w:rPr>
      </w:pPr>
      <w:r w:rsidRPr="00105F4B">
        <w:rPr>
          <w:color w:val="000000" w:themeColor="text1"/>
          <w:sz w:val="22"/>
          <w:szCs w:val="22"/>
          <w:lang w:val="ru-RU" w:eastAsia="ro-MD"/>
        </w:rPr>
        <w:t>2</w:t>
      </w:r>
      <w:r w:rsidRPr="00105F4B">
        <w:rPr>
          <w:color w:val="000000" w:themeColor="text1"/>
          <w:sz w:val="22"/>
          <w:szCs w:val="22"/>
          <w:vertAlign w:val="superscript"/>
          <w:lang w:val="ru-RU" w:eastAsia="ro-MD"/>
        </w:rPr>
        <w:t>2</w:t>
      </w:r>
      <w:r w:rsidRPr="00105F4B">
        <w:rPr>
          <w:color w:val="000000" w:themeColor="text1"/>
          <w:sz w:val="22"/>
          <w:szCs w:val="22"/>
          <w:lang w:val="ru-RU" w:eastAsia="ro-MD"/>
        </w:rPr>
        <w:t xml:space="preserve">) </w:t>
      </w:r>
      <w:r w:rsidR="00105F4B" w:rsidRPr="00105F4B">
        <w:rPr>
          <w:color w:val="000000" w:themeColor="text1"/>
          <w:sz w:val="22"/>
          <w:szCs w:val="22"/>
          <w:lang w:val="ru-RU" w:eastAsia="ro-MD"/>
        </w:rPr>
        <w:t xml:space="preserve">другие финансовые предприятия, являющиеся </w:t>
      </w:r>
      <w:r w:rsidR="00D368D7" w:rsidRPr="00D368D7">
        <w:rPr>
          <w:color w:val="000000" w:themeColor="text1"/>
          <w:sz w:val="22"/>
          <w:szCs w:val="22"/>
          <w:lang w:val="ru-RU" w:eastAsia="ro-MD"/>
        </w:rPr>
        <w:t>страховщика</w:t>
      </w:r>
      <w:r w:rsidR="00D368D7">
        <w:rPr>
          <w:color w:val="000000" w:themeColor="text1"/>
          <w:sz w:val="22"/>
          <w:szCs w:val="22"/>
          <w:lang w:val="ru-RU" w:eastAsia="ro-MD"/>
        </w:rPr>
        <w:t>ми</w:t>
      </w:r>
      <w:r w:rsidR="00D368D7" w:rsidRPr="00D368D7">
        <w:rPr>
          <w:color w:val="000000" w:themeColor="text1"/>
          <w:sz w:val="22"/>
          <w:szCs w:val="22"/>
          <w:lang w:val="ru-RU" w:eastAsia="ro-MD"/>
        </w:rPr>
        <w:t xml:space="preserve"> или перестраховщика</w:t>
      </w:r>
      <w:r w:rsidR="00D368D7">
        <w:rPr>
          <w:color w:val="000000" w:themeColor="text1"/>
          <w:sz w:val="22"/>
          <w:szCs w:val="22"/>
          <w:lang w:val="ru-RU" w:eastAsia="ro-MD"/>
        </w:rPr>
        <w:t>ми</w:t>
      </w:r>
      <w:r w:rsidR="00D368D7" w:rsidRPr="00D368D7">
        <w:rPr>
          <w:color w:val="000000" w:themeColor="text1"/>
          <w:sz w:val="22"/>
          <w:szCs w:val="22"/>
          <w:lang w:val="ru-RU" w:eastAsia="ro-MD"/>
        </w:rPr>
        <w:t>, страхов</w:t>
      </w:r>
      <w:r w:rsidR="00D368D7">
        <w:rPr>
          <w:color w:val="000000" w:themeColor="text1"/>
          <w:sz w:val="22"/>
          <w:szCs w:val="22"/>
          <w:lang w:val="ru-RU" w:eastAsia="ro-MD"/>
        </w:rPr>
        <w:t>ыми</w:t>
      </w:r>
      <w:r w:rsidR="00D368D7" w:rsidRPr="00D368D7">
        <w:rPr>
          <w:color w:val="000000" w:themeColor="text1"/>
          <w:sz w:val="22"/>
          <w:szCs w:val="22"/>
          <w:lang w:val="ru-RU" w:eastAsia="ro-MD"/>
        </w:rPr>
        <w:t xml:space="preserve"> холдингов</w:t>
      </w:r>
      <w:r w:rsidR="00D368D7">
        <w:rPr>
          <w:color w:val="000000" w:themeColor="text1"/>
          <w:sz w:val="22"/>
          <w:szCs w:val="22"/>
          <w:lang w:val="ru-RU" w:eastAsia="ro-MD"/>
        </w:rPr>
        <w:t>ыми</w:t>
      </w:r>
      <w:r w:rsidR="00D368D7" w:rsidRPr="00D368D7">
        <w:rPr>
          <w:color w:val="000000" w:themeColor="text1"/>
          <w:sz w:val="22"/>
          <w:szCs w:val="22"/>
          <w:lang w:val="ru-RU" w:eastAsia="ro-MD"/>
        </w:rPr>
        <w:t xml:space="preserve"> компани</w:t>
      </w:r>
      <w:r w:rsidR="00D368D7">
        <w:rPr>
          <w:color w:val="000000" w:themeColor="text1"/>
          <w:sz w:val="22"/>
          <w:szCs w:val="22"/>
          <w:lang w:val="ru-RU" w:eastAsia="ro-MD"/>
        </w:rPr>
        <w:t>ями</w:t>
      </w:r>
      <w:r w:rsidR="00105F4B" w:rsidRPr="00105F4B">
        <w:rPr>
          <w:color w:val="000000" w:themeColor="text1"/>
          <w:sz w:val="22"/>
          <w:szCs w:val="22"/>
          <w:lang w:val="ru-RU" w:eastAsia="ro-MD"/>
        </w:rPr>
        <w:t>, страховыми холдинговыми предприятиями или смешанными финансовыми холдинговыми предприятиями, если подверженностям перед ними присваивается 20%-</w:t>
      </w:r>
      <w:proofErr w:type="spellStart"/>
      <w:r w:rsidR="00105F4B" w:rsidRPr="00105F4B">
        <w:rPr>
          <w:color w:val="000000" w:themeColor="text1"/>
          <w:sz w:val="22"/>
          <w:szCs w:val="22"/>
          <w:lang w:val="ru-RU" w:eastAsia="ro-MD"/>
        </w:rPr>
        <w:t>ный</w:t>
      </w:r>
      <w:proofErr w:type="spellEnd"/>
      <w:r w:rsidR="00105F4B" w:rsidRPr="00105F4B">
        <w:rPr>
          <w:color w:val="000000" w:themeColor="text1"/>
          <w:sz w:val="22"/>
          <w:szCs w:val="22"/>
          <w:lang w:val="ru-RU" w:eastAsia="ro-MD"/>
        </w:rPr>
        <w:t xml:space="preserve"> коэффициент риска в соответствии со стандартизированным подходом, или предприятия, которые, в случае банков, рассчитывающих взвешенные по риску суммы подверженностей и ожидаемые суммы убытков в соответствии с подходом IRB, не имеют кредитной оценки признанного ECAI и оцениваются банком внутри общества</w:t>
      </w:r>
      <w:r w:rsidRPr="00105F4B">
        <w:rPr>
          <w:color w:val="000000" w:themeColor="text1"/>
          <w:sz w:val="22"/>
          <w:szCs w:val="22"/>
          <w:lang w:val="ru-RU" w:eastAsia="ro-MD"/>
        </w:rPr>
        <w:t>;</w:t>
      </w:r>
      <w:r w:rsidR="00105F4B" w:rsidRPr="00105F4B">
        <w:rPr>
          <w:color w:val="000000" w:themeColor="text1"/>
          <w:sz w:val="22"/>
          <w:szCs w:val="22"/>
          <w:lang w:val="ru-RU" w:eastAsia="ro-MD"/>
        </w:rPr>
        <w:t>»</w:t>
      </w:r>
      <w:r w:rsidRPr="00105F4B">
        <w:rPr>
          <w:color w:val="000000" w:themeColor="text1"/>
          <w:sz w:val="22"/>
          <w:szCs w:val="22"/>
          <w:lang w:val="ru-RU" w:eastAsia="ro-MD"/>
        </w:rPr>
        <w:t>.</w:t>
      </w:r>
    </w:p>
    <w:p w14:paraId="75879158" w14:textId="1433582D" w:rsidR="00BF76A9" w:rsidRPr="00884D1F" w:rsidRDefault="00E81121"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MD"/>
        </w:rPr>
      </w:pPr>
      <w:r>
        <w:rPr>
          <w:color w:val="000000" w:themeColor="text1"/>
          <w:sz w:val="22"/>
          <w:szCs w:val="22"/>
          <w:lang w:val="ru-RU"/>
        </w:rPr>
        <w:t>В</w:t>
      </w:r>
      <w:r w:rsidRPr="00E81121">
        <w:rPr>
          <w:color w:val="000000" w:themeColor="text1"/>
          <w:sz w:val="22"/>
          <w:szCs w:val="22"/>
          <w:lang w:val="ru-RU"/>
        </w:rPr>
        <w:t xml:space="preserve"> </w:t>
      </w:r>
      <w:r>
        <w:rPr>
          <w:color w:val="000000" w:themeColor="text1"/>
          <w:sz w:val="22"/>
          <w:szCs w:val="22"/>
          <w:lang w:val="ru-RU"/>
        </w:rPr>
        <w:t>главе</w:t>
      </w:r>
      <w:r w:rsidR="00625B28" w:rsidRPr="00884D1F">
        <w:rPr>
          <w:color w:val="000000" w:themeColor="text1"/>
          <w:sz w:val="22"/>
          <w:szCs w:val="22"/>
          <w:lang w:val="ro-MD"/>
        </w:rPr>
        <w:t xml:space="preserve"> VIII </w:t>
      </w:r>
      <w:r>
        <w:rPr>
          <w:color w:val="000000" w:themeColor="text1"/>
          <w:sz w:val="22"/>
          <w:szCs w:val="22"/>
          <w:lang w:val="ru-RU"/>
        </w:rPr>
        <w:t>название</w:t>
      </w:r>
      <w:r w:rsidRPr="00E81121">
        <w:rPr>
          <w:color w:val="000000" w:themeColor="text1"/>
          <w:sz w:val="22"/>
          <w:szCs w:val="22"/>
          <w:lang w:val="ru-RU"/>
        </w:rPr>
        <w:t xml:space="preserve"> </w:t>
      </w:r>
      <w:r>
        <w:rPr>
          <w:color w:val="000000" w:themeColor="text1"/>
          <w:sz w:val="22"/>
          <w:szCs w:val="22"/>
          <w:lang w:val="ru-RU"/>
        </w:rPr>
        <w:t>части</w:t>
      </w:r>
      <w:r w:rsidR="00625B28" w:rsidRPr="00884D1F">
        <w:rPr>
          <w:color w:val="000000" w:themeColor="text1"/>
          <w:sz w:val="22"/>
          <w:szCs w:val="22"/>
          <w:lang w:val="ro-MD"/>
        </w:rPr>
        <w:t xml:space="preserve"> 9</w:t>
      </w:r>
      <w:r w:rsidRPr="00E81121">
        <w:rPr>
          <w:color w:val="000000" w:themeColor="text1"/>
          <w:sz w:val="22"/>
          <w:szCs w:val="22"/>
          <w:lang w:val="ru-RU"/>
        </w:rPr>
        <w:t xml:space="preserve"> </w:t>
      </w:r>
      <w:r>
        <w:rPr>
          <w:color w:val="000000" w:themeColor="text1"/>
          <w:sz w:val="22"/>
          <w:szCs w:val="22"/>
          <w:lang w:val="ru-RU"/>
        </w:rPr>
        <w:t>дополнить словами «</w:t>
      </w:r>
      <w:r>
        <w:rPr>
          <w:b/>
          <w:bCs/>
          <w:i/>
          <w:iCs/>
          <w:color w:val="000000" w:themeColor="text1"/>
          <w:sz w:val="22"/>
          <w:szCs w:val="22"/>
          <w:lang w:val="ru-RU" w:eastAsia="ro-MD"/>
        </w:rPr>
        <w:t xml:space="preserve">для подверженностей, </w:t>
      </w:r>
      <w:r w:rsidR="00A15C4C">
        <w:rPr>
          <w:b/>
          <w:bCs/>
          <w:i/>
          <w:iCs/>
          <w:color w:val="000000" w:themeColor="text1"/>
          <w:sz w:val="22"/>
          <w:szCs w:val="22"/>
          <w:lang w:val="ru-RU" w:eastAsia="ro-MD"/>
        </w:rPr>
        <w:t>рассматриваемых согласно стандартизованному подходу»</w:t>
      </w:r>
      <w:r w:rsidR="00625B28" w:rsidRPr="00884D1F">
        <w:rPr>
          <w:color w:val="000000" w:themeColor="text1"/>
          <w:sz w:val="22"/>
          <w:szCs w:val="22"/>
          <w:lang w:val="ro-MD"/>
        </w:rPr>
        <w:t>.</w:t>
      </w:r>
    </w:p>
    <w:p w14:paraId="53A46335" w14:textId="08E05722" w:rsidR="00625B28" w:rsidRPr="003E1FE8" w:rsidRDefault="007111F3"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3E1FE8">
        <w:rPr>
          <w:color w:val="000000" w:themeColor="text1"/>
          <w:sz w:val="22"/>
          <w:szCs w:val="22"/>
          <w:lang w:val="ru-MD"/>
        </w:rPr>
        <w:t xml:space="preserve">Пункт </w:t>
      </w:r>
      <w:r w:rsidR="00625B28" w:rsidRPr="003E1FE8">
        <w:rPr>
          <w:color w:val="000000" w:themeColor="text1"/>
          <w:sz w:val="22"/>
          <w:szCs w:val="22"/>
          <w:lang w:val="ru-MD"/>
        </w:rPr>
        <w:t xml:space="preserve">106 </w:t>
      </w:r>
      <w:r w:rsidR="003E1FE8" w:rsidRPr="003E1FE8">
        <w:rPr>
          <w:color w:val="000000" w:themeColor="text1"/>
          <w:sz w:val="22"/>
          <w:szCs w:val="22"/>
          <w:lang w:val="ru-MD"/>
        </w:rPr>
        <w:t>дополнить в</w:t>
      </w:r>
      <w:r w:rsidRPr="003E1FE8">
        <w:rPr>
          <w:color w:val="000000" w:themeColor="text1"/>
          <w:sz w:val="22"/>
          <w:szCs w:val="22"/>
          <w:lang w:val="ru-MD"/>
        </w:rPr>
        <w:t xml:space="preserve"> начале текстом «В рамках </w:t>
      </w:r>
      <w:r w:rsidR="003E1FE8" w:rsidRPr="003E1FE8">
        <w:rPr>
          <w:color w:val="000000" w:themeColor="text1"/>
          <w:sz w:val="22"/>
          <w:szCs w:val="22"/>
          <w:lang w:val="ru-MD"/>
        </w:rPr>
        <w:t>стандартизованного подхода</w:t>
      </w:r>
      <w:r w:rsidR="004F20E8" w:rsidRPr="003E1FE8">
        <w:rPr>
          <w:color w:val="000000" w:themeColor="text1"/>
          <w:sz w:val="22"/>
          <w:szCs w:val="22"/>
          <w:lang w:val="ru-MD" w:eastAsia="ro-MD"/>
        </w:rPr>
        <w:t>,</w:t>
      </w:r>
      <w:r w:rsidR="003E1FE8" w:rsidRPr="003E1FE8">
        <w:rPr>
          <w:color w:val="000000" w:themeColor="text1"/>
          <w:sz w:val="22"/>
          <w:szCs w:val="22"/>
          <w:lang w:val="ru-MD" w:eastAsia="ro-MD"/>
        </w:rPr>
        <w:t>»</w:t>
      </w:r>
      <w:r w:rsidR="004F20E8" w:rsidRPr="003E1FE8">
        <w:rPr>
          <w:color w:val="000000" w:themeColor="text1"/>
          <w:sz w:val="22"/>
          <w:szCs w:val="22"/>
          <w:lang w:val="ru-MD" w:eastAsia="ro-MD"/>
        </w:rPr>
        <w:t>.</w:t>
      </w:r>
    </w:p>
    <w:p w14:paraId="04774D94" w14:textId="004CDD48" w:rsidR="004F20E8" w:rsidRPr="003E1FE8" w:rsidRDefault="003E1FE8"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MD"/>
        </w:rPr>
      </w:pPr>
      <w:r w:rsidRPr="003E1FE8">
        <w:rPr>
          <w:color w:val="000000" w:themeColor="text1"/>
          <w:sz w:val="22"/>
          <w:szCs w:val="22"/>
          <w:lang w:val="ru-MD" w:eastAsia="ro-MD"/>
        </w:rPr>
        <w:t>Главу VIII дополнить частями</w:t>
      </w:r>
      <w:r w:rsidR="006013DB" w:rsidRPr="003E1FE8">
        <w:rPr>
          <w:color w:val="000000" w:themeColor="text1"/>
          <w:sz w:val="22"/>
          <w:szCs w:val="22"/>
          <w:lang w:val="ru-MD" w:eastAsia="ro-MD"/>
        </w:rPr>
        <w:t xml:space="preserve"> 9</w:t>
      </w:r>
      <w:r w:rsidR="006013DB" w:rsidRPr="003E1FE8">
        <w:rPr>
          <w:color w:val="000000" w:themeColor="text1"/>
          <w:sz w:val="22"/>
          <w:szCs w:val="22"/>
          <w:vertAlign w:val="superscript"/>
          <w:lang w:val="ru-MD" w:eastAsia="ro-MD"/>
        </w:rPr>
        <w:t>1</w:t>
      </w:r>
      <w:r w:rsidR="007E6E1A" w:rsidRPr="003E1FE8">
        <w:rPr>
          <w:color w:val="000000" w:themeColor="text1"/>
          <w:sz w:val="22"/>
          <w:szCs w:val="22"/>
          <w:lang w:val="ru-MD" w:eastAsia="ro-MD"/>
        </w:rPr>
        <w:t>, 9</w:t>
      </w:r>
      <w:r w:rsidR="007E6E1A" w:rsidRPr="003E1FE8">
        <w:rPr>
          <w:color w:val="000000" w:themeColor="text1"/>
          <w:sz w:val="22"/>
          <w:szCs w:val="22"/>
          <w:vertAlign w:val="superscript"/>
          <w:lang w:val="ru-MD" w:eastAsia="ro-MD"/>
        </w:rPr>
        <w:t>2</w:t>
      </w:r>
      <w:r w:rsidR="007E6E1A" w:rsidRPr="003E1FE8">
        <w:rPr>
          <w:color w:val="000000" w:themeColor="text1"/>
          <w:sz w:val="22"/>
          <w:szCs w:val="22"/>
          <w:lang w:val="ru-MD" w:eastAsia="ro-MD"/>
        </w:rPr>
        <w:t xml:space="preserve"> </w:t>
      </w:r>
      <w:r w:rsidRPr="003E1FE8">
        <w:rPr>
          <w:color w:val="000000" w:themeColor="text1"/>
          <w:sz w:val="22"/>
          <w:szCs w:val="22"/>
          <w:lang w:val="ru-MD" w:eastAsia="ro-MD"/>
        </w:rPr>
        <w:t xml:space="preserve">и </w:t>
      </w:r>
      <w:r w:rsidR="007E6E1A" w:rsidRPr="003E1FE8">
        <w:rPr>
          <w:color w:val="000000" w:themeColor="text1"/>
          <w:sz w:val="22"/>
          <w:szCs w:val="22"/>
          <w:lang w:val="ru-MD" w:eastAsia="ro-MD"/>
        </w:rPr>
        <w:t>9</w:t>
      </w:r>
      <w:r w:rsidR="007E6E1A" w:rsidRPr="003E1FE8">
        <w:rPr>
          <w:color w:val="000000" w:themeColor="text1"/>
          <w:sz w:val="22"/>
          <w:szCs w:val="22"/>
          <w:vertAlign w:val="superscript"/>
          <w:lang w:val="ru-MD" w:eastAsia="ro-MD"/>
        </w:rPr>
        <w:t>3</w:t>
      </w:r>
      <w:r w:rsidR="007E6E1A" w:rsidRPr="003E1FE8">
        <w:rPr>
          <w:color w:val="000000" w:themeColor="text1"/>
          <w:sz w:val="22"/>
          <w:szCs w:val="22"/>
          <w:lang w:val="ru-MD" w:eastAsia="ro-MD"/>
        </w:rPr>
        <w:t xml:space="preserve"> </w:t>
      </w:r>
      <w:r w:rsidRPr="003E1FE8">
        <w:rPr>
          <w:color w:val="000000" w:themeColor="text1"/>
          <w:sz w:val="22"/>
          <w:szCs w:val="22"/>
          <w:lang w:val="ru-MD"/>
        </w:rPr>
        <w:t>следующего содержания</w:t>
      </w:r>
      <w:r w:rsidR="007E6E1A" w:rsidRPr="003E1FE8">
        <w:rPr>
          <w:color w:val="000000" w:themeColor="text1"/>
          <w:sz w:val="22"/>
          <w:szCs w:val="22"/>
          <w:lang w:val="ru-MD" w:eastAsia="ro-MD"/>
        </w:rPr>
        <w:t>:</w:t>
      </w:r>
    </w:p>
    <w:p w14:paraId="265A37E0" w14:textId="11B0E951" w:rsidR="006F667E" w:rsidRPr="00884D1F" w:rsidRDefault="00751FEA" w:rsidP="006F667E">
      <w:pPr>
        <w:jc w:val="center"/>
        <w:rPr>
          <w:color w:val="000000" w:themeColor="text1"/>
          <w:sz w:val="22"/>
          <w:szCs w:val="22"/>
          <w:lang w:val="ro-RO" w:eastAsia="ro-MD"/>
        </w:rPr>
      </w:pPr>
      <w:r>
        <w:rPr>
          <w:b/>
          <w:bCs/>
          <w:i/>
          <w:iCs/>
          <w:color w:val="000000" w:themeColor="text1"/>
          <w:sz w:val="22"/>
          <w:szCs w:val="22"/>
          <w:lang w:val="ru-RU" w:eastAsia="ro-MD"/>
        </w:rPr>
        <w:t>«Часть</w:t>
      </w:r>
      <w:r w:rsidR="006F667E" w:rsidRPr="00884D1F">
        <w:rPr>
          <w:b/>
          <w:bCs/>
          <w:i/>
          <w:iCs/>
          <w:color w:val="000000" w:themeColor="text1"/>
          <w:sz w:val="22"/>
          <w:szCs w:val="22"/>
          <w:lang w:val="ro-RO" w:eastAsia="ro-MD"/>
        </w:rPr>
        <w:t xml:space="preserve"> 9</w:t>
      </w:r>
      <w:r w:rsidR="006F667E" w:rsidRPr="00884D1F">
        <w:rPr>
          <w:b/>
          <w:bCs/>
          <w:i/>
          <w:iCs/>
          <w:color w:val="000000" w:themeColor="text1"/>
          <w:sz w:val="22"/>
          <w:szCs w:val="22"/>
          <w:vertAlign w:val="superscript"/>
          <w:lang w:val="ro-RO" w:eastAsia="ro-MD"/>
        </w:rPr>
        <w:t>1</w:t>
      </w:r>
    </w:p>
    <w:p w14:paraId="69386E7A" w14:textId="77777777" w:rsidR="00431815" w:rsidRPr="00431815" w:rsidRDefault="00431815" w:rsidP="006F667E">
      <w:pPr>
        <w:pStyle w:val="title-article-norm"/>
        <w:shd w:val="clear" w:color="auto" w:fill="FFFFFF"/>
        <w:spacing w:before="0" w:beforeAutospacing="0" w:after="0" w:afterAutospacing="0" w:line="312" w:lineRule="atLeast"/>
        <w:jc w:val="both"/>
        <w:rPr>
          <w:b/>
          <w:bCs/>
          <w:i/>
          <w:iCs/>
          <w:color w:val="000000" w:themeColor="text1"/>
          <w:sz w:val="22"/>
          <w:szCs w:val="22"/>
          <w:lang w:val="ru-RU"/>
          <w14:ligatures w14:val="none"/>
        </w:rPr>
      </w:pPr>
      <w:r w:rsidRPr="00431815">
        <w:rPr>
          <w:b/>
          <w:bCs/>
          <w:i/>
          <w:iCs/>
          <w:color w:val="000000" w:themeColor="text1"/>
          <w:sz w:val="22"/>
          <w:szCs w:val="22"/>
          <w:lang w:val="ru-RU"/>
          <w14:ligatures w14:val="none"/>
        </w:rPr>
        <w:t>Принципы оценки приемлемых реальных обеспечений, за исключением финансового обеспечения</w:t>
      </w:r>
    </w:p>
    <w:p w14:paraId="1EB18440" w14:textId="13C15B0B" w:rsidR="006F667E" w:rsidRPr="00565E02" w:rsidRDefault="006F667E" w:rsidP="006F667E">
      <w:pPr>
        <w:pStyle w:val="title-article-norm"/>
        <w:shd w:val="clear" w:color="auto" w:fill="FFFFFF"/>
        <w:spacing w:before="0" w:beforeAutospacing="0" w:after="0" w:afterAutospacing="0" w:line="312" w:lineRule="atLeast"/>
        <w:jc w:val="both"/>
        <w:rPr>
          <w:rFonts w:eastAsia="Arial Unicode MS"/>
          <w:color w:val="000000" w:themeColor="text1"/>
          <w:sz w:val="22"/>
          <w:szCs w:val="22"/>
          <w:lang w:val="ru-RU"/>
        </w:rPr>
      </w:pPr>
      <w:r w:rsidRPr="00565E02">
        <w:rPr>
          <w:b/>
          <w:bCs/>
          <w:color w:val="000000" w:themeColor="text1"/>
          <w:sz w:val="22"/>
          <w:szCs w:val="22"/>
          <w:lang w:val="ru-RU"/>
          <w14:ligatures w14:val="none"/>
        </w:rPr>
        <w:t>107</w:t>
      </w:r>
      <w:r w:rsidRPr="00565E02">
        <w:rPr>
          <w:b/>
          <w:bCs/>
          <w:color w:val="000000" w:themeColor="text1"/>
          <w:sz w:val="22"/>
          <w:szCs w:val="22"/>
          <w:vertAlign w:val="superscript"/>
          <w:lang w:val="ru-RU"/>
          <w14:ligatures w14:val="none"/>
        </w:rPr>
        <w:t>1</w:t>
      </w:r>
      <w:r w:rsidRPr="00565E02">
        <w:rPr>
          <w:b/>
          <w:bCs/>
          <w:color w:val="000000" w:themeColor="text1"/>
          <w:sz w:val="22"/>
          <w:szCs w:val="22"/>
          <w:lang w:val="ru-RU"/>
          <w14:ligatures w14:val="none"/>
        </w:rPr>
        <w:t xml:space="preserve">. </w:t>
      </w:r>
      <w:r w:rsidR="00431815" w:rsidRPr="00565E02">
        <w:rPr>
          <w:rFonts w:eastAsia="Arial Unicode MS"/>
          <w:color w:val="000000" w:themeColor="text1"/>
          <w:sz w:val="22"/>
          <w:szCs w:val="22"/>
          <w:lang w:val="ru-RU"/>
        </w:rPr>
        <w:t>Оценка недвижимости должна в совокупности соответствовать следующим требованиям</w:t>
      </w:r>
      <w:r w:rsidRPr="00565E02">
        <w:rPr>
          <w:rFonts w:eastAsia="Arial Unicode MS"/>
          <w:color w:val="000000" w:themeColor="text1"/>
          <w:sz w:val="22"/>
          <w:szCs w:val="22"/>
          <w:lang w:val="ru-RU"/>
        </w:rPr>
        <w:t>:</w:t>
      </w:r>
    </w:p>
    <w:p w14:paraId="1B2B50B6" w14:textId="7975DF9E" w:rsidR="006F667E" w:rsidRPr="00565E02" w:rsidRDefault="006F667E" w:rsidP="006F667E">
      <w:pPr>
        <w:shd w:val="clear" w:color="auto" w:fill="FFFFFF"/>
        <w:ind w:firstLine="567"/>
        <w:jc w:val="both"/>
        <w:rPr>
          <w:rFonts w:eastAsia="Arial Unicode MS"/>
          <w:color w:val="000000" w:themeColor="text1"/>
          <w:sz w:val="22"/>
          <w:szCs w:val="22"/>
          <w:lang w:val="ru-RU"/>
        </w:rPr>
      </w:pPr>
      <w:r w:rsidRPr="00565E02">
        <w:rPr>
          <w:rFonts w:eastAsia="Arial Unicode MS"/>
          <w:color w:val="000000" w:themeColor="text1"/>
          <w:sz w:val="22"/>
          <w:szCs w:val="22"/>
          <w:lang w:val="ru-RU"/>
        </w:rPr>
        <w:t>1) </w:t>
      </w:r>
      <w:r w:rsidR="00184A0E" w:rsidRPr="00565E02">
        <w:rPr>
          <w:rFonts w:eastAsia="Arial Unicode MS"/>
          <w:color w:val="000000" w:themeColor="text1"/>
          <w:sz w:val="22"/>
          <w:szCs w:val="22"/>
          <w:lang w:val="ru-RU"/>
        </w:rPr>
        <w:t>стоимость недвижимости оценивается независимо от процесса, проводимого банком для приобретения ипотеки, оформления кредита и принятия решения по кредиту, независимым оценщиком в соответствии с Законом об оценочной деятельности № 989/2002</w:t>
      </w:r>
      <w:r w:rsidRPr="00565E02">
        <w:rPr>
          <w:rFonts w:eastAsia="Arial Unicode MS"/>
          <w:color w:val="000000" w:themeColor="text1"/>
          <w:sz w:val="22"/>
          <w:szCs w:val="22"/>
          <w:lang w:val="ru-RU"/>
        </w:rPr>
        <w:t>;</w:t>
      </w:r>
    </w:p>
    <w:p w14:paraId="67C41834" w14:textId="20ECDAAF" w:rsidR="006F667E" w:rsidRPr="00565E02" w:rsidRDefault="006F667E" w:rsidP="006F667E">
      <w:pPr>
        <w:shd w:val="clear" w:color="auto" w:fill="FFFFFF"/>
        <w:ind w:firstLine="567"/>
        <w:jc w:val="both"/>
        <w:rPr>
          <w:rFonts w:eastAsia="Arial Unicode MS"/>
          <w:color w:val="000000" w:themeColor="text1"/>
          <w:sz w:val="22"/>
          <w:szCs w:val="22"/>
          <w:lang w:val="ru-RU"/>
        </w:rPr>
      </w:pPr>
      <w:r w:rsidRPr="00565E02">
        <w:rPr>
          <w:rFonts w:eastAsia="Arial Unicode MS"/>
          <w:color w:val="000000" w:themeColor="text1"/>
          <w:sz w:val="22"/>
          <w:szCs w:val="22"/>
          <w:lang w:val="ru-RU"/>
        </w:rPr>
        <w:lastRenderedPageBreak/>
        <w:t>2) </w:t>
      </w:r>
      <w:r w:rsidR="00184A0E" w:rsidRPr="00565E02">
        <w:rPr>
          <w:rFonts w:eastAsia="Arial Unicode MS"/>
          <w:color w:val="000000" w:themeColor="text1"/>
          <w:sz w:val="22"/>
          <w:szCs w:val="22"/>
          <w:lang w:val="ru-RU"/>
        </w:rPr>
        <w:t>стоимость недвижимости оценивается на основе разумных критериев оценки, которые в совокупности соответствуют следующим требованиям</w:t>
      </w:r>
      <w:r w:rsidRPr="00565E02">
        <w:rPr>
          <w:rFonts w:eastAsia="Arial Unicode MS"/>
          <w:color w:val="000000" w:themeColor="text1"/>
          <w:sz w:val="22"/>
          <w:szCs w:val="22"/>
          <w:lang w:val="ru-RU"/>
        </w:rPr>
        <w:t>:</w:t>
      </w:r>
    </w:p>
    <w:p w14:paraId="68E164AB" w14:textId="0460D3ED" w:rsidR="006F667E" w:rsidRPr="00565E02" w:rsidRDefault="006F667E" w:rsidP="006F667E">
      <w:pPr>
        <w:shd w:val="clear" w:color="auto" w:fill="FFFFFF"/>
        <w:ind w:firstLine="567"/>
        <w:jc w:val="both"/>
        <w:rPr>
          <w:rFonts w:eastAsia="Arial Unicode MS"/>
          <w:color w:val="000000" w:themeColor="text1"/>
          <w:sz w:val="22"/>
          <w:szCs w:val="22"/>
          <w:lang w:val="ru-RU"/>
        </w:rPr>
      </w:pPr>
      <w:r w:rsidRPr="00565E02">
        <w:rPr>
          <w:rFonts w:eastAsia="Arial Unicode MS"/>
          <w:color w:val="000000" w:themeColor="text1"/>
          <w:sz w:val="22"/>
          <w:szCs w:val="22"/>
          <w:lang w:val="ru-RU"/>
        </w:rPr>
        <w:t>a) </w:t>
      </w:r>
      <w:r w:rsidR="00184A0E" w:rsidRPr="00565E02">
        <w:rPr>
          <w:rFonts w:eastAsia="Arial Unicode MS"/>
          <w:color w:val="000000" w:themeColor="text1"/>
          <w:sz w:val="22"/>
          <w:szCs w:val="22"/>
          <w:lang w:val="ru-RU"/>
        </w:rPr>
        <w:t>стоимость недвижимости не учитывает ожидания роста цен</w:t>
      </w:r>
      <w:r w:rsidRPr="00565E02">
        <w:rPr>
          <w:rFonts w:eastAsia="Arial Unicode MS"/>
          <w:color w:val="000000" w:themeColor="text1"/>
          <w:sz w:val="22"/>
          <w:szCs w:val="22"/>
          <w:lang w:val="ru-RU"/>
        </w:rPr>
        <w:t>;</w:t>
      </w:r>
    </w:p>
    <w:p w14:paraId="29DFF5E6" w14:textId="590307ED" w:rsidR="006F667E" w:rsidRPr="00565E02" w:rsidRDefault="006F667E" w:rsidP="006F667E">
      <w:pPr>
        <w:shd w:val="clear" w:color="auto" w:fill="FFFFFF"/>
        <w:ind w:firstLine="567"/>
        <w:jc w:val="both"/>
        <w:rPr>
          <w:rFonts w:eastAsia="Arial Unicode MS"/>
          <w:color w:val="000000" w:themeColor="text1"/>
          <w:sz w:val="22"/>
          <w:szCs w:val="22"/>
          <w:lang w:val="ru-RU"/>
        </w:rPr>
      </w:pPr>
      <w:r w:rsidRPr="00565E02">
        <w:rPr>
          <w:rFonts w:eastAsia="Arial Unicode MS"/>
          <w:color w:val="000000" w:themeColor="text1"/>
          <w:sz w:val="22"/>
          <w:szCs w:val="22"/>
          <w:lang w:val="ru-RU"/>
        </w:rPr>
        <w:t>b) </w:t>
      </w:r>
      <w:r w:rsidR="004574BA" w:rsidRPr="00565E02">
        <w:rPr>
          <w:rFonts w:eastAsia="Arial Unicode MS"/>
          <w:color w:val="000000" w:themeColor="text1"/>
          <w:sz w:val="22"/>
          <w:szCs w:val="22"/>
          <w:lang w:val="ru-RU"/>
        </w:rPr>
        <w:t>стоимость недвижимости корректируется с учетом потенциальной возможности того, что текущая рыночная стоимость может значительно превышать стоимость, которая будет устойчивой в течение срока действия кредита</w:t>
      </w:r>
      <w:r w:rsidRPr="00565E02">
        <w:rPr>
          <w:rFonts w:eastAsia="Arial Unicode MS"/>
          <w:color w:val="000000" w:themeColor="text1"/>
          <w:sz w:val="22"/>
          <w:szCs w:val="22"/>
          <w:lang w:val="ru-RU"/>
        </w:rPr>
        <w:t>;</w:t>
      </w:r>
    </w:p>
    <w:p w14:paraId="0FE9431D" w14:textId="19CBAE1D" w:rsidR="006F667E" w:rsidRPr="00565E02" w:rsidRDefault="006F667E" w:rsidP="006F667E">
      <w:pPr>
        <w:shd w:val="clear" w:color="auto" w:fill="FFFFFF"/>
        <w:ind w:firstLine="567"/>
        <w:jc w:val="both"/>
        <w:rPr>
          <w:rFonts w:eastAsia="Arial Unicode MS"/>
          <w:color w:val="000000" w:themeColor="text1"/>
          <w:sz w:val="22"/>
          <w:szCs w:val="22"/>
          <w:lang w:val="ru-RU"/>
        </w:rPr>
      </w:pPr>
      <w:r w:rsidRPr="00565E02">
        <w:rPr>
          <w:rFonts w:eastAsia="Arial Unicode MS"/>
          <w:color w:val="000000" w:themeColor="text1"/>
          <w:sz w:val="22"/>
          <w:szCs w:val="22"/>
          <w:lang w:val="ru-RU"/>
        </w:rPr>
        <w:t>3) </w:t>
      </w:r>
      <w:r w:rsidR="00565E02" w:rsidRPr="00565E02">
        <w:rPr>
          <w:rFonts w:eastAsia="Arial Unicode MS"/>
          <w:color w:val="000000" w:themeColor="text1"/>
          <w:sz w:val="22"/>
          <w:szCs w:val="22"/>
          <w:lang w:val="ru-RU"/>
        </w:rPr>
        <w:t>стоимость недвижимости документально подтверждена прозрачным и понятным образом</w:t>
      </w:r>
      <w:r w:rsidRPr="00565E02">
        <w:rPr>
          <w:rFonts w:eastAsia="Arial Unicode MS"/>
          <w:color w:val="000000" w:themeColor="text1"/>
          <w:sz w:val="22"/>
          <w:szCs w:val="22"/>
          <w:lang w:val="ru-RU"/>
        </w:rPr>
        <w:t>;</w:t>
      </w:r>
    </w:p>
    <w:p w14:paraId="02C058C0" w14:textId="643C3B10" w:rsidR="006F667E" w:rsidRPr="00565E02" w:rsidRDefault="006F667E" w:rsidP="006F667E">
      <w:pPr>
        <w:shd w:val="clear" w:color="auto" w:fill="FFFFFF"/>
        <w:ind w:firstLine="567"/>
        <w:jc w:val="both"/>
        <w:rPr>
          <w:rFonts w:eastAsia="Arial Unicode MS"/>
          <w:color w:val="000000" w:themeColor="text1"/>
          <w:sz w:val="22"/>
          <w:szCs w:val="22"/>
          <w:lang w:val="ru-RU"/>
        </w:rPr>
      </w:pPr>
      <w:r w:rsidRPr="00565E02">
        <w:rPr>
          <w:rFonts w:eastAsia="Arial Unicode MS"/>
          <w:color w:val="000000" w:themeColor="text1"/>
          <w:sz w:val="22"/>
          <w:szCs w:val="22"/>
          <w:lang w:val="ru-RU"/>
        </w:rPr>
        <w:t>4) </w:t>
      </w:r>
      <w:r w:rsidR="00565E02" w:rsidRPr="00565E02">
        <w:rPr>
          <w:rFonts w:eastAsia="Arial Unicode MS"/>
          <w:color w:val="000000" w:themeColor="text1"/>
          <w:sz w:val="22"/>
          <w:szCs w:val="22"/>
          <w:lang w:val="ru-RU"/>
        </w:rPr>
        <w:t>стоимость недвижимости не превышает рыночную стоимость недвижимости, если такая рыночная стоимость может быть определена</w:t>
      </w:r>
      <w:r w:rsidRPr="00565E02">
        <w:rPr>
          <w:rFonts w:eastAsia="Arial Unicode MS"/>
          <w:color w:val="000000" w:themeColor="text1"/>
          <w:sz w:val="22"/>
          <w:szCs w:val="22"/>
          <w:lang w:val="ru-RU"/>
        </w:rPr>
        <w:t>;</w:t>
      </w:r>
    </w:p>
    <w:p w14:paraId="28196D7B" w14:textId="2309C0FD" w:rsidR="006F667E" w:rsidRPr="00565E02" w:rsidRDefault="006F667E" w:rsidP="006F667E">
      <w:pPr>
        <w:shd w:val="clear" w:color="auto" w:fill="FFFFFF"/>
        <w:ind w:firstLine="567"/>
        <w:jc w:val="both"/>
        <w:rPr>
          <w:rFonts w:eastAsia="Arial Unicode MS"/>
          <w:color w:val="000000" w:themeColor="text1"/>
          <w:sz w:val="22"/>
          <w:szCs w:val="22"/>
          <w:lang w:val="ru-RU"/>
        </w:rPr>
      </w:pPr>
      <w:r w:rsidRPr="00565E02">
        <w:rPr>
          <w:rFonts w:eastAsia="Arial Unicode MS"/>
          <w:color w:val="000000" w:themeColor="text1"/>
          <w:sz w:val="22"/>
          <w:szCs w:val="22"/>
          <w:lang w:val="ru-RU"/>
        </w:rPr>
        <w:t>5) </w:t>
      </w:r>
      <w:r w:rsidR="00565E02" w:rsidRPr="00565E02">
        <w:rPr>
          <w:rFonts w:eastAsia="Arial Unicode MS"/>
          <w:color w:val="000000" w:themeColor="text1"/>
          <w:sz w:val="22"/>
          <w:szCs w:val="22"/>
          <w:lang w:val="ru-RU"/>
        </w:rPr>
        <w:t>в случае переоценки недвижимости ее стоимость не может превышать среднюю стоимость, определенную для соответствующего актива, или для сопоставимой недвижимости за последние шесть лет в случае жилой недвижимости или за восемь лет в случае коммерческой недвижимости, или стоимость на момент начала переоценки, в зависимости от того, какая из двух величин выше</w:t>
      </w:r>
      <w:r w:rsidRPr="00565E02">
        <w:rPr>
          <w:rFonts w:eastAsia="Arial Unicode MS"/>
          <w:color w:val="000000" w:themeColor="text1"/>
          <w:sz w:val="22"/>
          <w:szCs w:val="22"/>
          <w:lang w:val="ru-RU"/>
        </w:rPr>
        <w:t>.</w:t>
      </w:r>
    </w:p>
    <w:p w14:paraId="400FD38C" w14:textId="77777777" w:rsidR="00523C22" w:rsidRDefault="006F667E" w:rsidP="006E35D8">
      <w:pPr>
        <w:pStyle w:val="norm"/>
        <w:shd w:val="clear" w:color="auto" w:fill="FFFFFF"/>
        <w:spacing w:before="0" w:beforeAutospacing="0" w:after="0" w:afterAutospacing="0"/>
        <w:jc w:val="both"/>
        <w:rPr>
          <w:rFonts w:eastAsia="Arial Unicode MS"/>
          <w:color w:val="000000" w:themeColor="text1"/>
          <w:sz w:val="22"/>
          <w:szCs w:val="22"/>
          <w:lang w:val="ru-RU"/>
        </w:rPr>
      </w:pPr>
      <w:r w:rsidRPr="00884D1F">
        <w:rPr>
          <w:b/>
          <w:bCs/>
          <w:color w:val="000000" w:themeColor="text1"/>
          <w:sz w:val="22"/>
          <w:szCs w:val="22"/>
          <w:lang w:val="ro-RO"/>
        </w:rPr>
        <w:t>107</w:t>
      </w:r>
      <w:r w:rsidRPr="00884D1F">
        <w:rPr>
          <w:b/>
          <w:bCs/>
          <w:color w:val="000000" w:themeColor="text1"/>
          <w:sz w:val="22"/>
          <w:szCs w:val="22"/>
          <w:vertAlign w:val="superscript"/>
          <w:lang w:val="ro-RO"/>
        </w:rPr>
        <w:t>2</w:t>
      </w:r>
      <w:r w:rsidRPr="00884D1F">
        <w:rPr>
          <w:b/>
          <w:bCs/>
          <w:color w:val="000000" w:themeColor="text1"/>
          <w:sz w:val="22"/>
          <w:szCs w:val="22"/>
          <w:lang w:val="ro-RO"/>
        </w:rPr>
        <w:t xml:space="preserve">. </w:t>
      </w:r>
      <w:r w:rsidR="006E35D8" w:rsidRPr="006E35D8">
        <w:rPr>
          <w:rFonts w:eastAsia="Arial Unicode MS"/>
          <w:color w:val="000000" w:themeColor="text1"/>
          <w:sz w:val="22"/>
          <w:szCs w:val="22"/>
          <w:lang w:val="ru-RU"/>
        </w:rPr>
        <w:t xml:space="preserve">Для расчета средней стоимости банки должны учитывать среднее значение стоимости недвижимости, измеренное с равными интервалами, при этом отчетный период должен включать не менее трех точек данных. </w:t>
      </w:r>
    </w:p>
    <w:p w14:paraId="2CEBADE2" w14:textId="2BA3A579" w:rsidR="006F667E" w:rsidRPr="006E35D8" w:rsidRDefault="006E35D8" w:rsidP="006E35D8">
      <w:pPr>
        <w:pStyle w:val="norm"/>
        <w:shd w:val="clear" w:color="auto" w:fill="FFFFFF"/>
        <w:spacing w:before="0" w:beforeAutospacing="0" w:after="0" w:afterAutospacing="0"/>
        <w:jc w:val="both"/>
        <w:rPr>
          <w:rFonts w:eastAsia="Arial Unicode MS"/>
          <w:color w:val="000000" w:themeColor="text1"/>
          <w:sz w:val="22"/>
          <w:szCs w:val="22"/>
          <w:lang w:val="ru-RU"/>
        </w:rPr>
      </w:pPr>
      <w:r w:rsidRPr="006E35D8">
        <w:rPr>
          <w:rFonts w:eastAsia="Arial Unicode MS"/>
          <w:color w:val="000000" w:themeColor="text1"/>
          <w:sz w:val="22"/>
          <w:szCs w:val="22"/>
          <w:lang w:val="ru-RU"/>
        </w:rPr>
        <w:t>Для расчета средней стоимости банки могут использовать результаты мониторинга стоимости недвижимости, проведенного в соответствии с приложением № 2 к Регламенту № 111/2018. Стоимость недвижимости может превышать эту среднюю стоимость или стоимость на момент начала оценки, в зависимости от обстоятельств, в случае изменений в недвижимости, которые однозначно увеличивают ее стоимость, таких как повышение энергоэффективности или повышение устойчивости, защиты и адаптации здания или жилого помещения к физическим рискам. Стоимость недвижимости не может быть переоценена в сторону увеличения, если у банков нет достаточных данных для расчета средней стоимости, за исключением случаев, когда увеличение стоимости основано на изменениях, которые однозначно увеличивают стоимость недвижимости.</w:t>
      </w:r>
    </w:p>
    <w:p w14:paraId="6C2AA740" w14:textId="53AA5C66" w:rsidR="00523C22" w:rsidRPr="00A43EDD" w:rsidRDefault="006F667E" w:rsidP="006F667E">
      <w:pPr>
        <w:pStyle w:val="norm"/>
        <w:shd w:val="clear" w:color="auto" w:fill="FFFFFF"/>
        <w:spacing w:before="0" w:beforeAutospacing="0" w:after="0" w:afterAutospacing="0" w:line="312" w:lineRule="atLeast"/>
        <w:jc w:val="both"/>
        <w:rPr>
          <w:color w:val="000000" w:themeColor="text1"/>
          <w:sz w:val="22"/>
          <w:szCs w:val="22"/>
          <w:lang w:val="ru-MD"/>
        </w:rPr>
      </w:pPr>
      <w:r w:rsidRPr="00A43EDD">
        <w:rPr>
          <w:b/>
          <w:bCs/>
          <w:color w:val="000000" w:themeColor="text1"/>
          <w:sz w:val="22"/>
          <w:szCs w:val="22"/>
          <w:lang w:val="ru-MD"/>
        </w:rPr>
        <w:t>107</w:t>
      </w:r>
      <w:r w:rsidRPr="00A43EDD">
        <w:rPr>
          <w:b/>
          <w:bCs/>
          <w:color w:val="000000" w:themeColor="text1"/>
          <w:sz w:val="22"/>
          <w:szCs w:val="22"/>
          <w:vertAlign w:val="superscript"/>
          <w:lang w:val="ru-MD"/>
        </w:rPr>
        <w:t>3</w:t>
      </w:r>
      <w:r w:rsidRPr="00A43EDD">
        <w:rPr>
          <w:b/>
          <w:bCs/>
          <w:color w:val="000000" w:themeColor="text1"/>
          <w:sz w:val="22"/>
          <w:szCs w:val="22"/>
          <w:lang w:val="ru-MD"/>
        </w:rPr>
        <w:t>.</w:t>
      </w:r>
      <w:r w:rsidRPr="00A43EDD">
        <w:rPr>
          <w:color w:val="000000" w:themeColor="text1"/>
          <w:sz w:val="22"/>
          <w:szCs w:val="22"/>
          <w:lang w:val="ru-MD"/>
        </w:rPr>
        <w:t xml:space="preserve"> </w:t>
      </w:r>
      <w:r w:rsidR="00523C22" w:rsidRPr="00A43EDD">
        <w:rPr>
          <w:color w:val="000000" w:themeColor="text1"/>
          <w:sz w:val="22"/>
          <w:szCs w:val="22"/>
          <w:lang w:val="ru-MD"/>
        </w:rPr>
        <w:t>При оценке недвижимости необходимо учитывать любые предыдущие претензии на недвижимость, за исключением случаев, когда предыдущая претензия учитывается при расчете общей суммы риска в соответствии с пунктом 68(3) Регламента № 111/2018 или в качестве фактора, уменьшающего сумму на 55% от стоимости недвижимости в соответствии с пунктами 69-69</w:t>
      </w:r>
      <w:r w:rsidR="00523C22" w:rsidRPr="00A43EDD">
        <w:rPr>
          <w:color w:val="000000" w:themeColor="text1"/>
          <w:sz w:val="22"/>
          <w:szCs w:val="22"/>
          <w:vertAlign w:val="superscript"/>
          <w:lang w:val="ru-MD"/>
        </w:rPr>
        <w:t>3</w:t>
      </w:r>
      <w:r w:rsidR="00523C22" w:rsidRPr="00A43EDD">
        <w:rPr>
          <w:color w:val="000000" w:themeColor="text1"/>
          <w:sz w:val="22"/>
          <w:szCs w:val="22"/>
          <w:lang w:val="ru-MD"/>
        </w:rPr>
        <w:t xml:space="preserve"> </w:t>
      </w:r>
      <w:r w:rsidR="00A43EDD">
        <w:rPr>
          <w:color w:val="000000" w:themeColor="text1"/>
          <w:sz w:val="22"/>
          <w:szCs w:val="22"/>
          <w:lang w:val="ru-MD"/>
        </w:rPr>
        <w:t>Регламента</w:t>
      </w:r>
      <w:r w:rsidR="00523C22" w:rsidRPr="00A43EDD">
        <w:rPr>
          <w:color w:val="000000" w:themeColor="text1"/>
          <w:sz w:val="22"/>
          <w:szCs w:val="22"/>
          <w:lang w:val="ru-MD"/>
        </w:rPr>
        <w:t xml:space="preserve"> № 111/2018 о жилой недвижимости и 71-71</w:t>
      </w:r>
      <w:r w:rsidR="003D2ECF">
        <w:rPr>
          <w:color w:val="000000" w:themeColor="text1"/>
          <w:sz w:val="22"/>
          <w:szCs w:val="22"/>
          <w:vertAlign w:val="superscript"/>
          <w:lang w:val="ru-MD"/>
        </w:rPr>
        <w:t>3</w:t>
      </w:r>
      <w:r w:rsidR="00523C22" w:rsidRPr="00A43EDD">
        <w:rPr>
          <w:color w:val="000000" w:themeColor="text1"/>
          <w:sz w:val="22"/>
          <w:szCs w:val="22"/>
          <w:lang w:val="ru-MD"/>
        </w:rPr>
        <w:t xml:space="preserve"> о коммерческой недвижимости, и при необходимости должны отражаться результаты мониторинга, требуемого в соответствии с </w:t>
      </w:r>
      <w:r w:rsidR="00A43EDD" w:rsidRPr="00A43EDD">
        <w:rPr>
          <w:color w:val="000000" w:themeColor="text1"/>
          <w:sz w:val="22"/>
          <w:szCs w:val="22"/>
          <w:lang w:val="ru-MD"/>
        </w:rPr>
        <w:t>п</w:t>
      </w:r>
      <w:r w:rsidR="00523C22" w:rsidRPr="00A43EDD">
        <w:rPr>
          <w:color w:val="000000" w:themeColor="text1"/>
          <w:sz w:val="22"/>
          <w:szCs w:val="22"/>
          <w:lang w:val="ru-MD"/>
        </w:rPr>
        <w:t xml:space="preserve">риложением № 2 к </w:t>
      </w:r>
      <w:r w:rsidR="00A43EDD" w:rsidRPr="00A43EDD">
        <w:rPr>
          <w:color w:val="000000" w:themeColor="text1"/>
          <w:sz w:val="22"/>
          <w:szCs w:val="22"/>
          <w:lang w:val="ru-MD"/>
        </w:rPr>
        <w:t xml:space="preserve">Регламенту </w:t>
      </w:r>
      <w:r w:rsidR="00523C22" w:rsidRPr="00A43EDD">
        <w:rPr>
          <w:color w:val="000000" w:themeColor="text1"/>
          <w:sz w:val="22"/>
          <w:szCs w:val="22"/>
          <w:lang w:val="ru-MD"/>
        </w:rPr>
        <w:t>№ 111/2018.</w:t>
      </w:r>
    </w:p>
    <w:p w14:paraId="40F4C0C6" w14:textId="39D4FC8C" w:rsidR="006F667E" w:rsidRPr="00F13F60" w:rsidRDefault="006F667E" w:rsidP="006F667E">
      <w:pPr>
        <w:shd w:val="clear" w:color="auto" w:fill="FFFFFF"/>
        <w:jc w:val="both"/>
        <w:rPr>
          <w:rFonts w:eastAsia="Arial Unicode MS"/>
          <w:color w:val="000000" w:themeColor="text1"/>
          <w:sz w:val="22"/>
          <w:szCs w:val="22"/>
          <w:lang w:val="ru-RU"/>
        </w:rPr>
      </w:pPr>
      <w:r w:rsidRPr="00F13F60">
        <w:rPr>
          <w:b/>
          <w:bCs/>
          <w:color w:val="000000" w:themeColor="text1"/>
          <w:sz w:val="22"/>
          <w:szCs w:val="22"/>
          <w:lang w:val="ru-RU"/>
        </w:rPr>
        <w:t>107</w:t>
      </w:r>
      <w:r w:rsidRPr="00F13F60">
        <w:rPr>
          <w:b/>
          <w:bCs/>
          <w:color w:val="000000" w:themeColor="text1"/>
          <w:sz w:val="22"/>
          <w:szCs w:val="22"/>
          <w:vertAlign w:val="superscript"/>
          <w:lang w:val="ru-RU"/>
        </w:rPr>
        <w:t>4</w:t>
      </w:r>
      <w:r w:rsidRPr="00F13F60">
        <w:rPr>
          <w:b/>
          <w:bCs/>
          <w:color w:val="000000" w:themeColor="text1"/>
          <w:sz w:val="22"/>
          <w:szCs w:val="22"/>
          <w:lang w:val="ru-RU"/>
        </w:rPr>
        <w:t>.</w:t>
      </w:r>
      <w:r w:rsidRPr="00F13F60">
        <w:rPr>
          <w:rFonts w:eastAsia="Arial Unicode MS"/>
          <w:color w:val="000000" w:themeColor="text1"/>
          <w:sz w:val="22"/>
          <w:szCs w:val="22"/>
          <w:lang w:val="ru-RU"/>
        </w:rPr>
        <w:t xml:space="preserve"> </w:t>
      </w:r>
      <w:r w:rsidR="003D2ECF" w:rsidRPr="00F13F60">
        <w:rPr>
          <w:rFonts w:eastAsia="Arial Unicode MS"/>
          <w:color w:val="000000" w:themeColor="text1"/>
          <w:sz w:val="22"/>
          <w:szCs w:val="22"/>
          <w:lang w:val="ru-RU"/>
        </w:rPr>
        <w:t>В случае дебиторской задолженности ее стоимость представляет собой сумму, подлежащую взысканию.</w:t>
      </w:r>
    </w:p>
    <w:p w14:paraId="0894506A" w14:textId="038A1D20" w:rsidR="006F667E" w:rsidRPr="00F13F60" w:rsidRDefault="006F667E" w:rsidP="006F667E">
      <w:pPr>
        <w:shd w:val="clear" w:color="auto" w:fill="FFFFFF"/>
        <w:jc w:val="both"/>
        <w:rPr>
          <w:rFonts w:eastAsia="Arial Unicode MS"/>
          <w:color w:val="000000" w:themeColor="text1"/>
          <w:sz w:val="22"/>
          <w:szCs w:val="22"/>
          <w:lang w:val="ru-RU"/>
        </w:rPr>
      </w:pPr>
      <w:r w:rsidRPr="00F13F60">
        <w:rPr>
          <w:b/>
          <w:bCs/>
          <w:color w:val="000000" w:themeColor="text1"/>
          <w:sz w:val="22"/>
          <w:szCs w:val="22"/>
          <w:lang w:val="ru-RU"/>
        </w:rPr>
        <w:t>107</w:t>
      </w:r>
      <w:r w:rsidRPr="00F13F60">
        <w:rPr>
          <w:b/>
          <w:bCs/>
          <w:color w:val="000000" w:themeColor="text1"/>
          <w:sz w:val="22"/>
          <w:szCs w:val="22"/>
          <w:vertAlign w:val="superscript"/>
          <w:lang w:val="ru-RU"/>
        </w:rPr>
        <w:t>5</w:t>
      </w:r>
      <w:r w:rsidRPr="00F13F60">
        <w:rPr>
          <w:b/>
          <w:bCs/>
          <w:color w:val="000000" w:themeColor="text1"/>
          <w:sz w:val="22"/>
          <w:szCs w:val="22"/>
          <w:lang w:val="ru-RU"/>
        </w:rPr>
        <w:t>.</w:t>
      </w:r>
      <w:r w:rsidRPr="00F13F60">
        <w:rPr>
          <w:color w:val="000000" w:themeColor="text1"/>
          <w:sz w:val="22"/>
          <w:szCs w:val="22"/>
          <w:lang w:val="ru-RU"/>
        </w:rPr>
        <w:t xml:space="preserve"> </w:t>
      </w:r>
      <w:r w:rsidR="009A50C5" w:rsidRPr="00F13F60">
        <w:rPr>
          <w:rFonts w:eastAsia="Arial Unicode MS"/>
          <w:color w:val="000000" w:themeColor="text1"/>
          <w:sz w:val="22"/>
          <w:szCs w:val="22"/>
          <w:lang w:val="ru-RU"/>
        </w:rPr>
        <w:t>Банки обязаны оценивать материальное обеспечение, за исключением недвижимости, по его рыночной стоимости. Для целей настоящего пункта рыночная стоимость — это предполагаемая сумма, за которую актив мог бы быть обменен на дату оценки между готовым покупателем и готовым продавцом в сделке на рыночных условиях</w:t>
      </w:r>
      <w:r w:rsidR="00826588" w:rsidRPr="00F13F60">
        <w:rPr>
          <w:rFonts w:eastAsia="Arial Unicode MS"/>
          <w:color w:val="000000" w:themeColor="text1"/>
          <w:sz w:val="22"/>
          <w:szCs w:val="22"/>
          <w:lang w:val="ru-RU"/>
        </w:rPr>
        <w:t>.</w:t>
      </w:r>
    </w:p>
    <w:p w14:paraId="3CDD95E0" w14:textId="0ED25B38" w:rsidR="006F667E" w:rsidRPr="00F13F60" w:rsidRDefault="006F667E" w:rsidP="006F667E">
      <w:pPr>
        <w:jc w:val="center"/>
        <w:rPr>
          <w:color w:val="000000" w:themeColor="text1"/>
          <w:sz w:val="22"/>
          <w:szCs w:val="22"/>
          <w:lang w:val="ru-RU" w:eastAsia="ro-MD"/>
        </w:rPr>
      </w:pPr>
      <w:r w:rsidRPr="00884D1F">
        <w:rPr>
          <w:color w:val="000000" w:themeColor="text1"/>
          <w:sz w:val="22"/>
          <w:szCs w:val="22"/>
          <w:lang w:val="ro-RO" w:eastAsia="ro-MD"/>
        </w:rPr>
        <w:t> </w:t>
      </w:r>
      <w:r w:rsidR="00F13F60">
        <w:rPr>
          <w:b/>
          <w:bCs/>
          <w:i/>
          <w:iCs/>
          <w:color w:val="000000" w:themeColor="text1"/>
          <w:sz w:val="22"/>
          <w:szCs w:val="22"/>
          <w:lang w:val="ru-RU" w:eastAsia="ro-MD"/>
        </w:rPr>
        <w:t>Часть</w:t>
      </w:r>
      <w:r w:rsidRPr="00884D1F">
        <w:rPr>
          <w:b/>
          <w:bCs/>
          <w:i/>
          <w:iCs/>
          <w:color w:val="000000" w:themeColor="text1"/>
          <w:sz w:val="22"/>
          <w:szCs w:val="22"/>
          <w:lang w:val="ro-RO" w:eastAsia="ro-MD"/>
        </w:rPr>
        <w:t xml:space="preserve"> 9</w:t>
      </w:r>
      <w:r w:rsidRPr="00884D1F">
        <w:rPr>
          <w:b/>
          <w:bCs/>
          <w:i/>
          <w:iCs/>
          <w:color w:val="000000" w:themeColor="text1"/>
          <w:sz w:val="22"/>
          <w:szCs w:val="22"/>
          <w:vertAlign w:val="superscript"/>
          <w:lang w:val="ro-RO" w:eastAsia="ro-MD"/>
        </w:rPr>
        <w:t>2</w:t>
      </w:r>
    </w:p>
    <w:p w14:paraId="2E459096" w14:textId="77777777" w:rsidR="0055000C" w:rsidRDefault="00F35778" w:rsidP="00F35778">
      <w:pPr>
        <w:pStyle w:val="title-article-norm"/>
        <w:shd w:val="clear" w:color="auto" w:fill="FFFFFF"/>
        <w:spacing w:before="0" w:beforeAutospacing="0" w:after="0" w:afterAutospacing="0" w:line="312" w:lineRule="atLeast"/>
        <w:jc w:val="center"/>
        <w:rPr>
          <w:b/>
          <w:bCs/>
          <w:i/>
          <w:iCs/>
          <w:color w:val="000000" w:themeColor="text1"/>
          <w:sz w:val="22"/>
          <w:szCs w:val="22"/>
          <w:lang w:val="ru-RU"/>
          <w14:ligatures w14:val="none"/>
        </w:rPr>
      </w:pPr>
      <w:r w:rsidRPr="00F35778">
        <w:rPr>
          <w:b/>
          <w:bCs/>
          <w:i/>
          <w:iCs/>
          <w:color w:val="000000" w:themeColor="text1"/>
          <w:sz w:val="22"/>
          <w:szCs w:val="22"/>
          <w:lang w:val="ru-RU"/>
          <w14:ligatures w14:val="none"/>
        </w:rPr>
        <w:t xml:space="preserve">Расчет взвешенных по риску сумм подверженностей и ожидаемых сумм </w:t>
      </w:r>
    </w:p>
    <w:p w14:paraId="70B151B8" w14:textId="3DC89426" w:rsidR="00F35778" w:rsidRPr="00F35778" w:rsidRDefault="00F35778" w:rsidP="00F35778">
      <w:pPr>
        <w:pStyle w:val="title-article-norm"/>
        <w:shd w:val="clear" w:color="auto" w:fill="FFFFFF"/>
        <w:spacing w:before="0" w:beforeAutospacing="0" w:after="0" w:afterAutospacing="0" w:line="312" w:lineRule="atLeast"/>
        <w:jc w:val="center"/>
        <w:rPr>
          <w:b/>
          <w:bCs/>
          <w:i/>
          <w:iCs/>
          <w:color w:val="000000" w:themeColor="text1"/>
          <w:sz w:val="22"/>
          <w:szCs w:val="22"/>
          <w:lang w:val="ru-RU"/>
          <w14:ligatures w14:val="none"/>
        </w:rPr>
      </w:pPr>
      <w:r w:rsidRPr="00F35778">
        <w:rPr>
          <w:b/>
          <w:bCs/>
          <w:i/>
          <w:iCs/>
          <w:color w:val="000000" w:themeColor="text1"/>
          <w:sz w:val="22"/>
          <w:szCs w:val="22"/>
          <w:lang w:val="ru-RU"/>
          <w14:ligatures w14:val="none"/>
        </w:rPr>
        <w:t>убытков по кредиту с соответствующей финансируемой защитой в рамках подхода IRB</w:t>
      </w:r>
    </w:p>
    <w:p w14:paraId="4EFA6838" w14:textId="77777777" w:rsidR="00F35778" w:rsidRDefault="00F35778" w:rsidP="006F667E">
      <w:pPr>
        <w:pStyle w:val="title-article-norm"/>
        <w:shd w:val="clear" w:color="auto" w:fill="FFFFFF"/>
        <w:spacing w:before="0" w:beforeAutospacing="0" w:after="0" w:afterAutospacing="0" w:line="312" w:lineRule="atLeast"/>
        <w:jc w:val="both"/>
        <w:rPr>
          <w:b/>
          <w:bCs/>
          <w:i/>
          <w:iCs/>
          <w:color w:val="000000" w:themeColor="text1"/>
          <w:sz w:val="22"/>
          <w:szCs w:val="22"/>
          <w:lang w:val="ru-RU"/>
          <w14:ligatures w14:val="none"/>
        </w:rPr>
      </w:pPr>
    </w:p>
    <w:p w14:paraId="129F47AD" w14:textId="1FC47321" w:rsidR="002D643D" w:rsidRPr="002D643D" w:rsidRDefault="006F667E" w:rsidP="006F667E">
      <w:pPr>
        <w:pStyle w:val="title-article-norm"/>
        <w:shd w:val="clear" w:color="auto" w:fill="FFFFFF"/>
        <w:spacing w:before="0" w:beforeAutospacing="0" w:after="0" w:afterAutospacing="0" w:line="312" w:lineRule="atLeast"/>
        <w:jc w:val="both"/>
        <w:rPr>
          <w:color w:val="000000" w:themeColor="text1"/>
          <w:sz w:val="22"/>
          <w:szCs w:val="22"/>
          <w:lang w:val="ru-RU"/>
          <w14:ligatures w14:val="none"/>
        </w:rPr>
      </w:pPr>
      <w:r w:rsidRPr="00884D1F">
        <w:rPr>
          <w:b/>
          <w:bCs/>
          <w:color w:val="000000" w:themeColor="text1"/>
          <w:sz w:val="22"/>
          <w:szCs w:val="22"/>
          <w:lang w:val="ro-RO"/>
          <w14:ligatures w14:val="none"/>
        </w:rPr>
        <w:t>107</w:t>
      </w:r>
      <w:r w:rsidRPr="00884D1F">
        <w:rPr>
          <w:b/>
          <w:bCs/>
          <w:color w:val="000000" w:themeColor="text1"/>
          <w:sz w:val="22"/>
          <w:szCs w:val="22"/>
          <w:vertAlign w:val="superscript"/>
          <w:lang w:val="ro-RO"/>
          <w14:ligatures w14:val="none"/>
        </w:rPr>
        <w:t>6</w:t>
      </w:r>
      <w:r w:rsidRPr="00884D1F">
        <w:rPr>
          <w:b/>
          <w:bCs/>
          <w:color w:val="000000" w:themeColor="text1"/>
          <w:sz w:val="22"/>
          <w:szCs w:val="22"/>
          <w:lang w:val="ro-RO"/>
          <w14:ligatures w14:val="none"/>
        </w:rPr>
        <w:t xml:space="preserve">. </w:t>
      </w:r>
      <w:r w:rsidR="002D643D" w:rsidRPr="002D643D">
        <w:rPr>
          <w:color w:val="000000" w:themeColor="text1"/>
          <w:sz w:val="22"/>
          <w:szCs w:val="22"/>
          <w:lang w:val="ru-RU"/>
          <w14:ligatures w14:val="none"/>
        </w:rPr>
        <w:t>В соответствии с подходом IRB, за исключением</w:t>
      </w:r>
      <w:r w:rsidR="002D643D">
        <w:rPr>
          <w:color w:val="000000" w:themeColor="text1"/>
          <w:sz w:val="22"/>
          <w:szCs w:val="22"/>
          <w:lang w:val="ru-RU"/>
          <w14:ligatures w14:val="none"/>
        </w:rPr>
        <w:t xml:space="preserve"> </w:t>
      </w:r>
      <w:r w:rsidR="002D643D" w:rsidRPr="002D643D">
        <w:rPr>
          <w:color w:val="000000" w:themeColor="text1"/>
          <w:sz w:val="22"/>
          <w:szCs w:val="22"/>
          <w:lang w:val="ru-RU"/>
          <w14:ligatures w14:val="none"/>
        </w:rPr>
        <w:t xml:space="preserve">подверженностей, подпадающих под пункты </w:t>
      </w:r>
      <w:r w:rsidR="00A9400B" w:rsidRPr="002D643D">
        <w:rPr>
          <w:color w:val="000000" w:themeColor="text1"/>
          <w:sz w:val="22"/>
          <w:szCs w:val="22"/>
          <w:lang w:val="ru-RU"/>
          <w14:ligatures w14:val="none"/>
        </w:rPr>
        <w:t>68–72</w:t>
      </w:r>
      <w:r w:rsidR="002D643D" w:rsidRPr="002D643D">
        <w:rPr>
          <w:color w:val="000000" w:themeColor="text1"/>
          <w:sz w:val="22"/>
          <w:szCs w:val="22"/>
          <w:lang w:val="ru-RU"/>
          <w14:ligatures w14:val="none"/>
        </w:rPr>
        <w:t>, банки должны использовать фактический убыток в случае невозврата (LGD*) в качестве LGD в значении нормативного акта Национального банка Молдовы об обработке кредитного риска для банков в рамках подхода, основанного на внутренних рейтингах, для признания обеспеченной кредитной защиты, соответствующей требованиям настоящего Регламента. Банки должны рассчитывать LGD* следующим образом:</w:t>
      </w:r>
    </w:p>
    <w:p w14:paraId="09CAFDEE" w14:textId="77777777" w:rsidR="006F667E" w:rsidRPr="00884D1F" w:rsidRDefault="006F667E" w:rsidP="006F667E">
      <w:pPr>
        <w:pStyle w:val="norm"/>
        <w:shd w:val="clear" w:color="auto" w:fill="FFFFFF"/>
        <w:spacing w:before="0" w:beforeAutospacing="0" w:after="0" w:afterAutospacing="0" w:line="312" w:lineRule="atLeast"/>
        <w:jc w:val="both"/>
        <w:rPr>
          <w:rFonts w:eastAsia="Arial Unicode MS"/>
          <w:color w:val="000000" w:themeColor="text1"/>
          <w:sz w:val="22"/>
          <w:szCs w:val="22"/>
          <w:lang w:val="ro-RO"/>
        </w:rPr>
      </w:pPr>
      <w:r w:rsidRPr="00884D1F">
        <w:rPr>
          <w:b/>
          <w:bCs/>
          <w:noProof/>
          <w:color w:val="000000" w:themeColor="text1"/>
          <w:sz w:val="22"/>
          <w:szCs w:val="22"/>
          <w:lang w:val="ro-RO"/>
        </w:rPr>
        <w:lastRenderedPageBreak/>
        <w:drawing>
          <wp:inline distT="0" distB="0" distL="0" distR="0" wp14:anchorId="0B4891DD" wp14:editId="7A108D12">
            <wp:extent cx="3419475" cy="45720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9475" cy="457200"/>
                    </a:xfrm>
                    <a:prstGeom prst="rect">
                      <a:avLst/>
                    </a:prstGeom>
                    <a:noFill/>
                    <a:ln>
                      <a:noFill/>
                    </a:ln>
                  </pic:spPr>
                </pic:pic>
              </a:graphicData>
            </a:graphic>
          </wp:inline>
        </w:drawing>
      </w:r>
    </w:p>
    <w:p w14:paraId="4B7C5519" w14:textId="5A4C4AB7" w:rsidR="006F667E" w:rsidRPr="00884D1F" w:rsidRDefault="00A9400B" w:rsidP="006F667E">
      <w:pPr>
        <w:pStyle w:val="norm"/>
        <w:shd w:val="clear" w:color="auto" w:fill="FFFFFF"/>
        <w:spacing w:before="0" w:beforeAutospacing="0" w:after="0" w:afterAutospacing="0" w:line="312" w:lineRule="atLeast"/>
        <w:jc w:val="both"/>
        <w:rPr>
          <w:rFonts w:eastAsia="Arial Unicode MS"/>
          <w:color w:val="000000" w:themeColor="text1"/>
          <w:sz w:val="22"/>
          <w:szCs w:val="22"/>
          <w:lang w:val="ro-RO"/>
        </w:rPr>
      </w:pPr>
      <w:r>
        <w:rPr>
          <w:rFonts w:eastAsia="Arial Unicode MS"/>
          <w:color w:val="000000" w:themeColor="text1"/>
          <w:sz w:val="22"/>
          <w:szCs w:val="22"/>
          <w:lang w:val="ru-RU"/>
        </w:rPr>
        <w:t>где</w:t>
      </w:r>
      <w:r w:rsidR="006F667E" w:rsidRPr="00884D1F">
        <w:rPr>
          <w:rFonts w:eastAsia="Arial Unicode MS"/>
          <w:color w:val="000000" w:themeColor="text1"/>
          <w:sz w:val="22"/>
          <w:szCs w:val="22"/>
          <w:lang w:val="ro-RO"/>
        </w:rPr>
        <w:t>:</w:t>
      </w:r>
    </w:p>
    <w:tbl>
      <w:tblPr>
        <w:tblW w:w="5000" w:type="pct"/>
        <w:tblCellMar>
          <w:left w:w="0" w:type="dxa"/>
          <w:right w:w="0" w:type="dxa"/>
        </w:tblCellMar>
        <w:tblLook w:val="04A0" w:firstRow="1" w:lastRow="0" w:firstColumn="1" w:lastColumn="0" w:noHBand="0" w:noVBand="1"/>
      </w:tblPr>
      <w:tblGrid>
        <w:gridCol w:w="135"/>
        <w:gridCol w:w="9554"/>
      </w:tblGrid>
      <w:tr w:rsidR="000B2CBE" w:rsidRPr="007544BA" w14:paraId="0E2D54C4" w14:textId="77777777" w:rsidTr="008D25C5">
        <w:tc>
          <w:tcPr>
            <w:tcW w:w="0" w:type="auto"/>
            <w:hideMark/>
          </w:tcPr>
          <w:p w14:paraId="7BD97E6A" w14:textId="77777777" w:rsidR="006F667E" w:rsidRPr="00884D1F" w:rsidRDefault="006F667E" w:rsidP="008D25C5">
            <w:pPr>
              <w:pStyle w:val="dlist-term"/>
              <w:spacing w:before="0" w:beforeAutospacing="0" w:after="0" w:afterAutospacing="0" w:line="312" w:lineRule="atLeast"/>
              <w:rPr>
                <w:color w:val="000000" w:themeColor="text1"/>
                <w:sz w:val="22"/>
                <w:szCs w:val="22"/>
                <w:lang w:val="ro-RO"/>
              </w:rPr>
            </w:pPr>
            <w:r w:rsidRPr="00884D1F">
              <w:rPr>
                <w:color w:val="000000" w:themeColor="text1"/>
                <w:sz w:val="22"/>
                <w:szCs w:val="22"/>
                <w:lang w:val="ro-RO"/>
              </w:rPr>
              <w:t>E</w:t>
            </w:r>
          </w:p>
        </w:tc>
        <w:tc>
          <w:tcPr>
            <w:tcW w:w="0" w:type="auto"/>
            <w:hideMark/>
          </w:tcPr>
          <w:p w14:paraId="61D39CA5" w14:textId="69102B76" w:rsidR="006F667E" w:rsidRPr="00884D1F" w:rsidRDefault="006F667E" w:rsidP="007F1D36">
            <w:pPr>
              <w:pStyle w:val="norm"/>
              <w:spacing w:before="0" w:beforeAutospacing="0" w:after="0" w:afterAutospacing="0" w:line="312" w:lineRule="atLeast"/>
              <w:jc w:val="both"/>
              <w:rPr>
                <w:color w:val="000000" w:themeColor="text1"/>
                <w:sz w:val="22"/>
                <w:szCs w:val="22"/>
                <w:lang w:val="ro-RO"/>
              </w:rPr>
            </w:pPr>
            <w:r w:rsidRPr="00884D1F">
              <w:rPr>
                <w:color w:val="000000" w:themeColor="text1"/>
                <w:sz w:val="22"/>
                <w:szCs w:val="22"/>
                <w:lang w:val="ro-RO"/>
              </w:rPr>
              <w:t xml:space="preserve">= </w:t>
            </w:r>
            <w:r w:rsidR="00FC5D38" w:rsidRPr="007F1D36">
              <w:rPr>
                <w:color w:val="000000" w:themeColor="text1"/>
                <w:sz w:val="22"/>
                <w:szCs w:val="22"/>
                <w:lang w:val="ru-RU"/>
              </w:rPr>
              <w:t>сумма подверженности</w:t>
            </w:r>
            <w:r w:rsidRPr="007F1D36">
              <w:rPr>
                <w:color w:val="000000" w:themeColor="text1"/>
                <w:sz w:val="22"/>
                <w:szCs w:val="22"/>
                <w:lang w:val="ru-RU"/>
              </w:rPr>
              <w:t xml:space="preserve"> </w:t>
            </w:r>
            <w:r w:rsidR="00FC5D38" w:rsidRPr="007F1D36">
              <w:rPr>
                <w:color w:val="000000" w:themeColor="text1"/>
                <w:sz w:val="22"/>
                <w:szCs w:val="22"/>
                <w:lang w:val="ru-RU"/>
              </w:rPr>
              <w:t>до учета эффекта финансируемой кредитной защиты</w:t>
            </w:r>
            <w:r w:rsidRPr="007F1D36">
              <w:rPr>
                <w:color w:val="000000" w:themeColor="text1"/>
                <w:sz w:val="22"/>
                <w:szCs w:val="22"/>
                <w:lang w:val="ru-RU"/>
              </w:rPr>
              <w:t xml:space="preserve">; </w:t>
            </w:r>
            <w:r w:rsidR="00293DD2" w:rsidRPr="007F1D36">
              <w:rPr>
                <w:color w:val="000000" w:themeColor="text1"/>
                <w:sz w:val="22"/>
                <w:szCs w:val="22"/>
                <w:lang w:val="ru-RU"/>
              </w:rPr>
              <w:t>для подверженности, обеспеченной соответствующим финансовым залогом в соответствии с настоящим регламентом, эта сумма рассчитывается в соответствии с пунктами 89-90</w:t>
            </w:r>
            <w:r w:rsidRPr="007F1D36">
              <w:rPr>
                <w:color w:val="000000" w:themeColor="text1"/>
                <w:sz w:val="22"/>
                <w:szCs w:val="22"/>
                <w:lang w:val="ru-RU"/>
              </w:rPr>
              <w:t xml:space="preserve">; </w:t>
            </w:r>
            <w:r w:rsidR="00293DD2" w:rsidRPr="007F1D36">
              <w:rPr>
                <w:color w:val="000000" w:themeColor="text1"/>
                <w:sz w:val="22"/>
                <w:szCs w:val="22"/>
                <w:lang w:val="ru-RU"/>
              </w:rPr>
              <w:t>в случае ценных бумаг, предоставленных в заем или в качестве залога, эта сумма равна сумме предоставленных в заем денежных средств или ценных бумаг, предоставленных в заем или в качестве залога; в случае ценных бумаг, предоставленных в заем или в качестве залога, сумма подверженности увеличивается путем применения корректировки волатильности (H</w:t>
            </w:r>
            <w:r w:rsidR="00293DD2" w:rsidRPr="007F1D36">
              <w:rPr>
                <w:rStyle w:val="subscript"/>
                <w:color w:val="000000" w:themeColor="text1"/>
                <w:sz w:val="22"/>
                <w:szCs w:val="22"/>
                <w:vertAlign w:val="subscript"/>
                <w:lang w:val="ru-RU"/>
              </w:rPr>
              <w:t>E</w:t>
            </w:r>
            <w:r w:rsidR="00293DD2" w:rsidRPr="007F1D36">
              <w:rPr>
                <w:color w:val="000000" w:themeColor="text1"/>
                <w:sz w:val="22"/>
                <w:szCs w:val="22"/>
                <w:lang w:val="ru-RU"/>
              </w:rPr>
              <w:t>) в соответствии с разделами 5-8 настоящей главы</w:t>
            </w:r>
            <w:r w:rsidRPr="007F1D36">
              <w:rPr>
                <w:color w:val="000000" w:themeColor="text1"/>
                <w:sz w:val="22"/>
                <w:szCs w:val="22"/>
                <w:lang w:val="ru-RU"/>
              </w:rPr>
              <w:t>;</w:t>
            </w:r>
          </w:p>
        </w:tc>
      </w:tr>
    </w:tbl>
    <w:p w14:paraId="7C19891D" w14:textId="77777777" w:rsidR="006F667E" w:rsidRPr="00884D1F" w:rsidRDefault="006F667E" w:rsidP="006F667E">
      <w:pPr>
        <w:shd w:val="clear" w:color="auto" w:fill="FFFFFF"/>
        <w:rPr>
          <w:rFonts w:eastAsia="Arial Unicode MS"/>
          <w:vanish/>
          <w:color w:val="000000" w:themeColor="text1"/>
          <w:sz w:val="22"/>
          <w:szCs w:val="22"/>
          <w:lang w:val="ro-RO"/>
        </w:rPr>
      </w:pPr>
    </w:p>
    <w:tbl>
      <w:tblPr>
        <w:tblW w:w="5000" w:type="pct"/>
        <w:tblCellMar>
          <w:left w:w="0" w:type="dxa"/>
          <w:right w:w="0" w:type="dxa"/>
        </w:tblCellMar>
        <w:tblLook w:val="04A0" w:firstRow="1" w:lastRow="0" w:firstColumn="1" w:lastColumn="0" w:noHBand="0" w:noVBand="1"/>
      </w:tblPr>
      <w:tblGrid>
        <w:gridCol w:w="213"/>
        <w:gridCol w:w="9476"/>
      </w:tblGrid>
      <w:tr w:rsidR="000B2CBE" w:rsidRPr="007544BA" w14:paraId="44DD483E" w14:textId="77777777" w:rsidTr="008D25C5">
        <w:tc>
          <w:tcPr>
            <w:tcW w:w="0" w:type="auto"/>
            <w:hideMark/>
          </w:tcPr>
          <w:p w14:paraId="7AAE1A4A" w14:textId="77777777" w:rsidR="006F667E" w:rsidRPr="00884D1F" w:rsidRDefault="006F667E" w:rsidP="008D25C5">
            <w:pPr>
              <w:pStyle w:val="dlist-term"/>
              <w:spacing w:before="0" w:beforeAutospacing="0" w:after="0" w:afterAutospacing="0" w:line="312" w:lineRule="atLeast"/>
              <w:rPr>
                <w:color w:val="000000" w:themeColor="text1"/>
                <w:sz w:val="22"/>
                <w:szCs w:val="22"/>
                <w:lang w:val="ro-RO"/>
              </w:rPr>
            </w:pPr>
            <w:r w:rsidRPr="00884D1F">
              <w:rPr>
                <w:color w:val="000000" w:themeColor="text1"/>
                <w:sz w:val="22"/>
                <w:szCs w:val="22"/>
                <w:lang w:val="ro-RO"/>
              </w:rPr>
              <w:t>E</w:t>
            </w:r>
            <w:r w:rsidRPr="00884D1F">
              <w:rPr>
                <w:rStyle w:val="subscript"/>
                <w:color w:val="000000" w:themeColor="text1"/>
                <w:sz w:val="22"/>
                <w:szCs w:val="22"/>
                <w:vertAlign w:val="subscript"/>
                <w:lang w:val="ro-RO"/>
              </w:rPr>
              <w:t>S</w:t>
            </w:r>
          </w:p>
        </w:tc>
        <w:tc>
          <w:tcPr>
            <w:tcW w:w="0" w:type="auto"/>
            <w:hideMark/>
          </w:tcPr>
          <w:p w14:paraId="0433735C" w14:textId="5D2083EF" w:rsidR="006F667E" w:rsidRPr="00884D1F" w:rsidRDefault="006F667E" w:rsidP="00D634DE">
            <w:pPr>
              <w:pStyle w:val="norm"/>
              <w:spacing w:before="0" w:beforeAutospacing="0" w:after="0" w:afterAutospacing="0" w:line="312" w:lineRule="atLeast"/>
              <w:jc w:val="both"/>
              <w:rPr>
                <w:color w:val="000000" w:themeColor="text1"/>
                <w:sz w:val="22"/>
                <w:szCs w:val="22"/>
                <w:lang w:val="ro-RO"/>
              </w:rPr>
            </w:pPr>
            <w:r w:rsidRPr="00884D1F">
              <w:rPr>
                <w:color w:val="000000" w:themeColor="text1"/>
                <w:sz w:val="22"/>
                <w:szCs w:val="22"/>
                <w:lang w:val="ro-RO"/>
              </w:rPr>
              <w:t xml:space="preserve">= </w:t>
            </w:r>
            <w:r w:rsidR="0049085B" w:rsidRPr="0049085B">
              <w:rPr>
                <w:color w:val="000000" w:themeColor="text1"/>
                <w:sz w:val="22"/>
                <w:szCs w:val="22"/>
                <w:lang w:val="ru-RU"/>
              </w:rPr>
              <w:t>текущая стоимость обеспеченной кредитной защиты, полученная после применения корректировки волатильности, применимой к типу обеспеченной кредитной защиты (</w:t>
            </w:r>
            <w:r w:rsidR="0049085B" w:rsidRPr="00884D1F">
              <w:rPr>
                <w:color w:val="000000" w:themeColor="text1"/>
                <w:sz w:val="22"/>
                <w:szCs w:val="22"/>
                <w:lang w:val="ro-RO"/>
              </w:rPr>
              <w:t>H</w:t>
            </w:r>
            <w:r w:rsidR="0049085B" w:rsidRPr="00884D1F">
              <w:rPr>
                <w:rStyle w:val="subscript"/>
                <w:color w:val="000000" w:themeColor="text1"/>
                <w:sz w:val="22"/>
                <w:szCs w:val="22"/>
                <w:vertAlign w:val="subscript"/>
                <w:lang w:val="ro-RO"/>
              </w:rPr>
              <w:t>C</w:t>
            </w:r>
            <w:r w:rsidR="0049085B" w:rsidRPr="0049085B">
              <w:rPr>
                <w:color w:val="000000" w:themeColor="text1"/>
                <w:sz w:val="22"/>
                <w:szCs w:val="22"/>
                <w:lang w:val="ru-RU"/>
              </w:rPr>
              <w:t>), и корректировки волатильности для валютных несоответствий (</w:t>
            </w:r>
            <w:proofErr w:type="spellStart"/>
            <w:r w:rsidR="0049085B" w:rsidRPr="00884D1F">
              <w:rPr>
                <w:color w:val="000000" w:themeColor="text1"/>
                <w:sz w:val="22"/>
                <w:szCs w:val="22"/>
                <w:lang w:val="ro-RO"/>
              </w:rPr>
              <w:t>H</w:t>
            </w:r>
            <w:r w:rsidR="0049085B" w:rsidRPr="00884D1F">
              <w:rPr>
                <w:rStyle w:val="subscript"/>
                <w:color w:val="000000" w:themeColor="text1"/>
                <w:sz w:val="22"/>
                <w:szCs w:val="22"/>
                <w:vertAlign w:val="subscript"/>
                <w:lang w:val="ro-RO"/>
              </w:rPr>
              <w:t>fx</w:t>
            </w:r>
            <w:proofErr w:type="spellEnd"/>
            <w:r w:rsidR="0049085B" w:rsidRPr="0049085B">
              <w:rPr>
                <w:color w:val="000000" w:themeColor="text1"/>
                <w:sz w:val="22"/>
                <w:szCs w:val="22"/>
                <w:lang w:val="ru-RU"/>
              </w:rPr>
              <w:t>) между риском и обеспеченной кредитной защитой, в соответствии с пунктами 107</w:t>
            </w:r>
            <w:r w:rsidR="00D634DE">
              <w:rPr>
                <w:color w:val="000000" w:themeColor="text1"/>
                <w:sz w:val="22"/>
                <w:szCs w:val="22"/>
                <w:vertAlign w:val="superscript"/>
                <w:lang w:val="ru-RU"/>
              </w:rPr>
              <w:t>7</w:t>
            </w:r>
            <w:r w:rsidR="0049085B" w:rsidRPr="0049085B">
              <w:rPr>
                <w:color w:val="000000" w:themeColor="text1"/>
                <w:sz w:val="22"/>
                <w:szCs w:val="22"/>
                <w:lang w:val="ru-RU"/>
              </w:rPr>
              <w:t>-107</w:t>
            </w:r>
            <w:r w:rsidR="00D634DE">
              <w:rPr>
                <w:color w:val="000000" w:themeColor="text1"/>
                <w:sz w:val="22"/>
                <w:szCs w:val="22"/>
                <w:vertAlign w:val="superscript"/>
                <w:lang w:val="ru-RU"/>
              </w:rPr>
              <w:t>8</w:t>
            </w:r>
            <w:r w:rsidR="0049085B" w:rsidRPr="0049085B">
              <w:rPr>
                <w:color w:val="000000" w:themeColor="text1"/>
                <w:sz w:val="22"/>
                <w:szCs w:val="22"/>
                <w:lang w:val="ru-RU"/>
              </w:rPr>
              <w:t xml:space="preserve">; </w:t>
            </w:r>
            <w:r w:rsidR="00D634DE" w:rsidRPr="00884D1F">
              <w:rPr>
                <w:color w:val="000000" w:themeColor="text1"/>
                <w:sz w:val="22"/>
                <w:szCs w:val="22"/>
                <w:lang w:val="ro-RO"/>
              </w:rPr>
              <w:t>E</w:t>
            </w:r>
            <w:r w:rsidR="00D634DE" w:rsidRPr="00884D1F">
              <w:rPr>
                <w:rStyle w:val="subscript"/>
                <w:color w:val="000000" w:themeColor="text1"/>
                <w:sz w:val="22"/>
                <w:szCs w:val="22"/>
                <w:vertAlign w:val="subscript"/>
                <w:lang w:val="ro-RO"/>
              </w:rPr>
              <w:t>S</w:t>
            </w:r>
            <w:r w:rsidR="0049085B" w:rsidRPr="0049085B">
              <w:rPr>
                <w:color w:val="000000" w:themeColor="text1"/>
                <w:sz w:val="22"/>
                <w:szCs w:val="22"/>
                <w:lang w:val="ru-RU"/>
              </w:rPr>
              <w:t xml:space="preserve"> ограничена следующим значением</w:t>
            </w:r>
            <w:r w:rsidRPr="00884D1F">
              <w:rPr>
                <w:color w:val="000000" w:themeColor="text1"/>
                <w:sz w:val="22"/>
                <w:szCs w:val="22"/>
                <w:lang w:val="ro-RO"/>
              </w:rPr>
              <w:t>: E·(1+H</w:t>
            </w:r>
            <w:r w:rsidRPr="00884D1F">
              <w:rPr>
                <w:rStyle w:val="subscript"/>
                <w:color w:val="000000" w:themeColor="text1"/>
                <w:sz w:val="22"/>
                <w:szCs w:val="22"/>
                <w:vertAlign w:val="subscript"/>
                <w:lang w:val="ro-RO"/>
              </w:rPr>
              <w:t>E</w:t>
            </w:r>
            <w:r w:rsidRPr="00884D1F">
              <w:rPr>
                <w:color w:val="000000" w:themeColor="text1"/>
                <w:sz w:val="22"/>
                <w:szCs w:val="22"/>
                <w:lang w:val="ro-RO"/>
              </w:rPr>
              <w:t>);</w:t>
            </w:r>
          </w:p>
        </w:tc>
      </w:tr>
    </w:tbl>
    <w:p w14:paraId="782958B9" w14:textId="77777777" w:rsidR="006F667E" w:rsidRPr="00884D1F" w:rsidRDefault="006F667E" w:rsidP="006F667E">
      <w:pPr>
        <w:shd w:val="clear" w:color="auto" w:fill="FFFFFF"/>
        <w:rPr>
          <w:rFonts w:eastAsia="Arial Unicode MS"/>
          <w:vanish/>
          <w:color w:val="000000" w:themeColor="text1"/>
          <w:sz w:val="22"/>
          <w:szCs w:val="22"/>
          <w:lang w:val="ro-RO"/>
        </w:rPr>
      </w:pPr>
    </w:p>
    <w:tbl>
      <w:tblPr>
        <w:tblW w:w="5000" w:type="pct"/>
        <w:tblCellMar>
          <w:left w:w="0" w:type="dxa"/>
          <w:right w:w="0" w:type="dxa"/>
        </w:tblCellMar>
        <w:tblLook w:val="04A0" w:firstRow="1" w:lastRow="0" w:firstColumn="1" w:lastColumn="0" w:noHBand="0" w:noVBand="1"/>
      </w:tblPr>
      <w:tblGrid>
        <w:gridCol w:w="734"/>
        <w:gridCol w:w="8955"/>
      </w:tblGrid>
      <w:tr w:rsidR="000B2CBE" w:rsidRPr="00884D1F" w14:paraId="5F7DF2BE" w14:textId="77777777" w:rsidTr="008D25C5">
        <w:tc>
          <w:tcPr>
            <w:tcW w:w="379" w:type="pct"/>
            <w:hideMark/>
          </w:tcPr>
          <w:p w14:paraId="653DA81E" w14:textId="77777777" w:rsidR="006F667E" w:rsidRPr="00884D1F" w:rsidRDefault="006F667E" w:rsidP="008D25C5">
            <w:pPr>
              <w:pStyle w:val="dlist-term"/>
              <w:spacing w:before="0" w:beforeAutospacing="0" w:after="0" w:afterAutospacing="0" w:line="312" w:lineRule="atLeast"/>
              <w:rPr>
                <w:color w:val="000000" w:themeColor="text1"/>
                <w:sz w:val="22"/>
                <w:szCs w:val="22"/>
                <w:lang w:val="ro-RO"/>
              </w:rPr>
            </w:pPr>
            <w:r w:rsidRPr="00884D1F">
              <w:rPr>
                <w:color w:val="000000" w:themeColor="text1"/>
                <w:sz w:val="22"/>
                <w:szCs w:val="22"/>
                <w:lang w:val="ro-RO"/>
              </w:rPr>
              <w:t>E</w:t>
            </w:r>
            <w:r w:rsidRPr="00884D1F">
              <w:rPr>
                <w:rStyle w:val="subscript"/>
                <w:color w:val="000000" w:themeColor="text1"/>
                <w:sz w:val="22"/>
                <w:szCs w:val="22"/>
                <w:vertAlign w:val="subscript"/>
                <w:lang w:val="ro-RO"/>
              </w:rPr>
              <w:t>U</w:t>
            </w:r>
          </w:p>
        </w:tc>
        <w:tc>
          <w:tcPr>
            <w:tcW w:w="4621" w:type="pct"/>
            <w:hideMark/>
          </w:tcPr>
          <w:p w14:paraId="09676AEE" w14:textId="77777777" w:rsidR="006F667E" w:rsidRPr="00884D1F" w:rsidRDefault="006F667E" w:rsidP="008D25C5">
            <w:pPr>
              <w:pStyle w:val="norm"/>
              <w:spacing w:before="0" w:beforeAutospacing="0" w:after="0" w:afterAutospacing="0" w:line="312" w:lineRule="atLeast"/>
              <w:jc w:val="both"/>
              <w:rPr>
                <w:color w:val="000000" w:themeColor="text1"/>
                <w:sz w:val="22"/>
                <w:szCs w:val="22"/>
                <w:lang w:val="ro-RO"/>
              </w:rPr>
            </w:pPr>
            <w:r w:rsidRPr="00884D1F">
              <w:rPr>
                <w:color w:val="000000" w:themeColor="text1"/>
                <w:sz w:val="22"/>
                <w:szCs w:val="22"/>
                <w:lang w:val="ro-RO"/>
              </w:rPr>
              <w:t>= E·(1+H</w:t>
            </w:r>
            <w:r w:rsidRPr="00884D1F">
              <w:rPr>
                <w:rStyle w:val="subscript"/>
                <w:color w:val="000000" w:themeColor="text1"/>
                <w:sz w:val="22"/>
                <w:szCs w:val="22"/>
                <w:vertAlign w:val="subscript"/>
                <w:lang w:val="ro-RO"/>
              </w:rPr>
              <w:t>E</w:t>
            </w:r>
            <w:r w:rsidRPr="00884D1F">
              <w:rPr>
                <w:color w:val="000000" w:themeColor="text1"/>
                <w:sz w:val="22"/>
                <w:szCs w:val="22"/>
                <w:lang w:val="ro-RO"/>
              </w:rPr>
              <w:t>) – E</w:t>
            </w:r>
            <w:r w:rsidRPr="00884D1F">
              <w:rPr>
                <w:rStyle w:val="subscript"/>
                <w:color w:val="000000" w:themeColor="text1"/>
                <w:sz w:val="22"/>
                <w:szCs w:val="22"/>
                <w:vertAlign w:val="subscript"/>
                <w:lang w:val="ro-RO"/>
              </w:rPr>
              <w:t>S</w:t>
            </w:r>
            <w:r w:rsidRPr="00884D1F">
              <w:rPr>
                <w:color w:val="000000" w:themeColor="text1"/>
                <w:sz w:val="22"/>
                <w:szCs w:val="22"/>
                <w:lang w:val="ro-RO"/>
              </w:rPr>
              <w:t>;</w:t>
            </w:r>
          </w:p>
        </w:tc>
      </w:tr>
    </w:tbl>
    <w:p w14:paraId="7DD64B65" w14:textId="77777777" w:rsidR="006F667E" w:rsidRPr="00884D1F" w:rsidRDefault="006F667E" w:rsidP="006F667E">
      <w:pPr>
        <w:shd w:val="clear" w:color="auto" w:fill="FFFFFF"/>
        <w:rPr>
          <w:rFonts w:eastAsia="Arial Unicode MS"/>
          <w:vanish/>
          <w:color w:val="000000" w:themeColor="text1"/>
          <w:sz w:val="22"/>
          <w:szCs w:val="22"/>
          <w:lang w:val="ro-RO"/>
        </w:rPr>
      </w:pPr>
    </w:p>
    <w:tbl>
      <w:tblPr>
        <w:tblW w:w="5000" w:type="pct"/>
        <w:tblCellMar>
          <w:left w:w="0" w:type="dxa"/>
          <w:right w:w="0" w:type="dxa"/>
        </w:tblCellMar>
        <w:tblLook w:val="04A0" w:firstRow="1" w:lastRow="0" w:firstColumn="1" w:lastColumn="0" w:noHBand="0" w:noVBand="1"/>
      </w:tblPr>
      <w:tblGrid>
        <w:gridCol w:w="554"/>
        <w:gridCol w:w="9135"/>
      </w:tblGrid>
      <w:tr w:rsidR="000B2CBE" w:rsidRPr="007544BA" w14:paraId="30E4DB41" w14:textId="77777777" w:rsidTr="008D25C5">
        <w:tc>
          <w:tcPr>
            <w:tcW w:w="0" w:type="auto"/>
            <w:hideMark/>
          </w:tcPr>
          <w:p w14:paraId="211762DF" w14:textId="77777777" w:rsidR="006F667E" w:rsidRPr="00745400" w:rsidRDefault="006F667E" w:rsidP="008D25C5">
            <w:pPr>
              <w:pStyle w:val="dlist-term"/>
              <w:spacing w:before="0" w:beforeAutospacing="0" w:after="0" w:afterAutospacing="0" w:line="312" w:lineRule="atLeast"/>
              <w:rPr>
                <w:color w:val="000000" w:themeColor="text1"/>
                <w:sz w:val="22"/>
                <w:szCs w:val="22"/>
                <w:lang w:val="ru-RU"/>
              </w:rPr>
            </w:pPr>
            <w:r w:rsidRPr="00745400">
              <w:rPr>
                <w:color w:val="000000" w:themeColor="text1"/>
                <w:sz w:val="22"/>
                <w:szCs w:val="22"/>
                <w:lang w:val="ru-RU"/>
              </w:rPr>
              <w:t>LGD</w:t>
            </w:r>
            <w:r w:rsidRPr="00745400">
              <w:rPr>
                <w:rStyle w:val="subscript"/>
                <w:color w:val="000000" w:themeColor="text1"/>
                <w:sz w:val="22"/>
                <w:szCs w:val="22"/>
                <w:vertAlign w:val="subscript"/>
                <w:lang w:val="ru-RU"/>
              </w:rPr>
              <w:t>U</w:t>
            </w:r>
          </w:p>
        </w:tc>
        <w:tc>
          <w:tcPr>
            <w:tcW w:w="0" w:type="auto"/>
            <w:hideMark/>
          </w:tcPr>
          <w:p w14:paraId="1938BE2F" w14:textId="7996B5BE" w:rsidR="006F667E" w:rsidRPr="00745400" w:rsidRDefault="006F667E" w:rsidP="008D25C5">
            <w:pPr>
              <w:pStyle w:val="norm"/>
              <w:spacing w:before="0" w:beforeAutospacing="0" w:after="0" w:afterAutospacing="0" w:line="312" w:lineRule="atLeast"/>
              <w:jc w:val="both"/>
              <w:rPr>
                <w:color w:val="000000" w:themeColor="text1"/>
                <w:sz w:val="22"/>
                <w:szCs w:val="22"/>
                <w:lang w:val="ru-RU"/>
              </w:rPr>
            </w:pPr>
            <w:r w:rsidRPr="00745400">
              <w:rPr>
                <w:color w:val="000000" w:themeColor="text1"/>
                <w:sz w:val="22"/>
                <w:szCs w:val="22"/>
                <w:lang w:val="ru-RU"/>
              </w:rPr>
              <w:t xml:space="preserve">= </w:t>
            </w:r>
            <w:r w:rsidR="00745400" w:rsidRPr="00745400">
              <w:rPr>
                <w:color w:val="000000" w:themeColor="text1"/>
                <w:sz w:val="22"/>
                <w:szCs w:val="22"/>
                <w:lang w:val="ru-RU"/>
              </w:rPr>
              <w:t xml:space="preserve">LGD, применимый к </w:t>
            </w:r>
            <w:r w:rsidR="0000287C" w:rsidRPr="00745400">
              <w:rPr>
                <w:color w:val="000000" w:themeColor="text1"/>
                <w:sz w:val="22"/>
                <w:szCs w:val="22"/>
                <w:lang w:val="ru-RU"/>
              </w:rPr>
              <w:t>необеспеченной подверженности, как предусмотрено в нормативном акте Национального банка Молдовы об отношении к кредитному риск</w:t>
            </w:r>
            <w:r w:rsidR="008B67CB" w:rsidRPr="00745400">
              <w:rPr>
                <w:color w:val="000000" w:themeColor="text1"/>
                <w:sz w:val="22"/>
                <w:szCs w:val="22"/>
                <w:lang w:val="ru-RU"/>
              </w:rPr>
              <w:t>у</w:t>
            </w:r>
            <w:r w:rsidR="0000287C" w:rsidRPr="00745400">
              <w:rPr>
                <w:color w:val="000000" w:themeColor="text1"/>
                <w:sz w:val="22"/>
                <w:szCs w:val="22"/>
                <w:lang w:val="ru-RU"/>
              </w:rPr>
              <w:t xml:space="preserve"> для банков в рамках подхода, основанного на внутренних рейтинговых моделях</w:t>
            </w:r>
            <w:r w:rsidRPr="00745400">
              <w:rPr>
                <w:color w:val="000000" w:themeColor="text1"/>
                <w:sz w:val="22"/>
                <w:szCs w:val="22"/>
                <w:lang w:val="ru-RU"/>
              </w:rPr>
              <w:t>;</w:t>
            </w:r>
          </w:p>
        </w:tc>
      </w:tr>
    </w:tbl>
    <w:p w14:paraId="56BC1FB5" w14:textId="77777777" w:rsidR="006F667E" w:rsidRPr="00745400" w:rsidRDefault="006F667E" w:rsidP="006F667E">
      <w:pPr>
        <w:shd w:val="clear" w:color="auto" w:fill="FFFFFF"/>
        <w:rPr>
          <w:rFonts w:eastAsia="Arial Unicode MS"/>
          <w:vanish/>
          <w:color w:val="000000" w:themeColor="text1"/>
          <w:sz w:val="22"/>
          <w:szCs w:val="22"/>
          <w:lang w:val="ru-RU"/>
        </w:rPr>
      </w:pPr>
    </w:p>
    <w:tbl>
      <w:tblPr>
        <w:tblW w:w="5000" w:type="pct"/>
        <w:tblCellMar>
          <w:left w:w="0" w:type="dxa"/>
          <w:right w:w="0" w:type="dxa"/>
        </w:tblCellMar>
        <w:tblLook w:val="04A0" w:firstRow="1" w:lastRow="0" w:firstColumn="1" w:lastColumn="0" w:noHBand="0" w:noVBand="1"/>
      </w:tblPr>
      <w:tblGrid>
        <w:gridCol w:w="530"/>
        <w:gridCol w:w="9159"/>
      </w:tblGrid>
      <w:tr w:rsidR="000B2CBE" w:rsidRPr="007544BA" w14:paraId="7EAC699D" w14:textId="77777777" w:rsidTr="008D25C5">
        <w:tc>
          <w:tcPr>
            <w:tcW w:w="0" w:type="auto"/>
            <w:hideMark/>
          </w:tcPr>
          <w:p w14:paraId="0A194D75" w14:textId="77777777" w:rsidR="006F667E" w:rsidRPr="00745400" w:rsidRDefault="006F667E" w:rsidP="008D25C5">
            <w:pPr>
              <w:pStyle w:val="dlist-term"/>
              <w:spacing w:before="0" w:beforeAutospacing="0" w:after="0" w:afterAutospacing="0" w:line="312" w:lineRule="atLeast"/>
              <w:rPr>
                <w:color w:val="000000" w:themeColor="text1"/>
                <w:sz w:val="22"/>
                <w:szCs w:val="22"/>
                <w:lang w:val="ru-RU"/>
              </w:rPr>
            </w:pPr>
            <w:r w:rsidRPr="00745400">
              <w:rPr>
                <w:color w:val="000000" w:themeColor="text1"/>
                <w:sz w:val="22"/>
                <w:szCs w:val="22"/>
                <w:lang w:val="ru-RU"/>
              </w:rPr>
              <w:t>LGD</w:t>
            </w:r>
            <w:r w:rsidRPr="00745400">
              <w:rPr>
                <w:rStyle w:val="subscript"/>
                <w:color w:val="000000" w:themeColor="text1"/>
                <w:sz w:val="22"/>
                <w:szCs w:val="22"/>
                <w:vertAlign w:val="subscript"/>
                <w:lang w:val="ru-RU"/>
              </w:rPr>
              <w:t>S</w:t>
            </w:r>
          </w:p>
        </w:tc>
        <w:tc>
          <w:tcPr>
            <w:tcW w:w="0" w:type="auto"/>
            <w:hideMark/>
          </w:tcPr>
          <w:p w14:paraId="07BD27CC" w14:textId="76D95E16" w:rsidR="006F667E" w:rsidRPr="00745400" w:rsidRDefault="006F667E" w:rsidP="008D25C5">
            <w:pPr>
              <w:pStyle w:val="norm"/>
              <w:spacing w:before="0" w:beforeAutospacing="0" w:after="0" w:afterAutospacing="0" w:line="312" w:lineRule="atLeast"/>
              <w:jc w:val="both"/>
              <w:rPr>
                <w:color w:val="000000" w:themeColor="text1"/>
                <w:sz w:val="22"/>
                <w:szCs w:val="22"/>
                <w:lang w:val="ru-RU"/>
              </w:rPr>
            </w:pPr>
            <w:r w:rsidRPr="00745400">
              <w:rPr>
                <w:color w:val="000000" w:themeColor="text1"/>
                <w:sz w:val="22"/>
                <w:szCs w:val="22"/>
                <w:lang w:val="ru-RU"/>
              </w:rPr>
              <w:t xml:space="preserve">= </w:t>
            </w:r>
            <w:r w:rsidR="00745400" w:rsidRPr="00745400">
              <w:rPr>
                <w:color w:val="000000" w:themeColor="text1"/>
                <w:sz w:val="22"/>
                <w:szCs w:val="22"/>
                <w:lang w:val="ru-RU"/>
              </w:rPr>
              <w:t>LGD, применимый к подверженностям, обеспеченным тем типом приемлемого</w:t>
            </w:r>
            <w:r w:rsidR="00CC646A" w:rsidRPr="007544BA">
              <w:rPr>
                <w:lang w:val="ru-RU"/>
              </w:rPr>
              <w:t xml:space="preserve"> </w:t>
            </w:r>
            <w:r w:rsidR="00CC646A" w:rsidRPr="00CC646A">
              <w:rPr>
                <w:color w:val="000000" w:themeColor="text1"/>
                <w:sz w:val="22"/>
                <w:szCs w:val="22"/>
                <w:lang w:val="ru-RU"/>
              </w:rPr>
              <w:t>допустимой финансируемой защиты кредита</w:t>
            </w:r>
            <w:r w:rsidR="00745400" w:rsidRPr="00745400">
              <w:rPr>
                <w:color w:val="000000" w:themeColor="text1"/>
                <w:sz w:val="22"/>
                <w:szCs w:val="22"/>
                <w:lang w:val="ru-RU"/>
              </w:rPr>
              <w:t xml:space="preserve"> </w:t>
            </w:r>
            <w:r w:rsidR="00CC646A">
              <w:rPr>
                <w:color w:val="000000" w:themeColor="text1"/>
                <w:sz w:val="22"/>
                <w:szCs w:val="22"/>
                <w:lang w:val="ru-RU"/>
              </w:rPr>
              <w:t>(</w:t>
            </w:r>
            <w:r w:rsidR="00745400" w:rsidRPr="00745400">
              <w:rPr>
                <w:color w:val="000000" w:themeColor="text1"/>
                <w:sz w:val="22"/>
                <w:szCs w:val="22"/>
                <w:lang w:val="ru-RU"/>
              </w:rPr>
              <w:t>FCP</w:t>
            </w:r>
            <w:r w:rsidR="00CC646A">
              <w:rPr>
                <w:color w:val="000000" w:themeColor="text1"/>
                <w:sz w:val="22"/>
                <w:szCs w:val="22"/>
                <w:lang w:val="ru-RU"/>
              </w:rPr>
              <w:t>)</w:t>
            </w:r>
            <w:r w:rsidR="00745400" w:rsidRPr="00745400">
              <w:rPr>
                <w:color w:val="000000" w:themeColor="text1"/>
                <w:sz w:val="22"/>
                <w:szCs w:val="22"/>
                <w:lang w:val="ru-RU"/>
              </w:rPr>
              <w:t>, который использовался в сделке, как указано в таблице № 5</w:t>
            </w:r>
            <w:r w:rsidRPr="00745400">
              <w:rPr>
                <w:color w:val="000000" w:themeColor="text1"/>
                <w:sz w:val="22"/>
                <w:szCs w:val="22"/>
                <w:lang w:val="ru-RU"/>
              </w:rPr>
              <w:t>.</w:t>
            </w:r>
          </w:p>
        </w:tc>
      </w:tr>
    </w:tbl>
    <w:p w14:paraId="375CA831" w14:textId="1702754E" w:rsidR="006F667E" w:rsidRPr="00884D1F" w:rsidRDefault="006F667E" w:rsidP="006F667E">
      <w:pPr>
        <w:shd w:val="clear" w:color="auto" w:fill="FFFFFF"/>
        <w:rPr>
          <w:rFonts w:eastAsia="Arial Unicode MS"/>
          <w:color w:val="000000" w:themeColor="text1"/>
          <w:sz w:val="22"/>
          <w:szCs w:val="22"/>
          <w:lang w:val="ro-RO"/>
        </w:rPr>
      </w:pPr>
      <w:r w:rsidRPr="00114F3F">
        <w:rPr>
          <w:b/>
          <w:bCs/>
          <w:color w:val="000000" w:themeColor="text1"/>
          <w:sz w:val="22"/>
          <w:szCs w:val="22"/>
          <w:lang w:val="ru-RU"/>
        </w:rPr>
        <w:t>107</w:t>
      </w:r>
      <w:r w:rsidRPr="00114F3F">
        <w:rPr>
          <w:b/>
          <w:bCs/>
          <w:color w:val="000000" w:themeColor="text1"/>
          <w:sz w:val="22"/>
          <w:szCs w:val="22"/>
          <w:vertAlign w:val="superscript"/>
          <w:lang w:val="ru-RU"/>
        </w:rPr>
        <w:t>7</w:t>
      </w:r>
      <w:r w:rsidRPr="00114F3F">
        <w:rPr>
          <w:b/>
          <w:bCs/>
          <w:color w:val="000000" w:themeColor="text1"/>
          <w:sz w:val="22"/>
          <w:szCs w:val="22"/>
          <w:lang w:val="ru-RU"/>
        </w:rPr>
        <w:t xml:space="preserve">. </w:t>
      </w:r>
      <w:r w:rsidR="00745400" w:rsidRPr="00114F3F">
        <w:rPr>
          <w:rFonts w:eastAsia="Arial Unicode MS"/>
          <w:color w:val="000000" w:themeColor="text1"/>
          <w:sz w:val="22"/>
          <w:szCs w:val="22"/>
          <w:lang w:val="ru-RU"/>
        </w:rPr>
        <w:t xml:space="preserve">В таблице № </w:t>
      </w:r>
      <w:r w:rsidRPr="00114F3F">
        <w:rPr>
          <w:rFonts w:eastAsia="Arial Unicode MS"/>
          <w:color w:val="000000" w:themeColor="text1"/>
          <w:sz w:val="22"/>
          <w:szCs w:val="22"/>
          <w:lang w:val="ru-RU"/>
        </w:rPr>
        <w:t xml:space="preserve">5 </w:t>
      </w:r>
      <w:r w:rsidR="00745400" w:rsidRPr="00114F3F">
        <w:rPr>
          <w:rFonts w:eastAsia="Arial Unicode MS"/>
          <w:color w:val="000000" w:themeColor="text1"/>
          <w:sz w:val="22"/>
          <w:szCs w:val="22"/>
          <w:lang w:val="ru-RU"/>
        </w:rPr>
        <w:t xml:space="preserve">указаны </w:t>
      </w:r>
      <w:r w:rsidR="00114F3F" w:rsidRPr="00114F3F">
        <w:rPr>
          <w:rFonts w:eastAsia="Arial Unicode MS"/>
          <w:color w:val="000000" w:themeColor="text1"/>
          <w:sz w:val="22"/>
          <w:szCs w:val="22"/>
          <w:lang w:val="ru-RU"/>
        </w:rPr>
        <w:t xml:space="preserve">значения </w:t>
      </w:r>
      <w:r w:rsidRPr="00114F3F">
        <w:rPr>
          <w:rFonts w:eastAsia="Arial Unicode MS"/>
          <w:color w:val="000000" w:themeColor="text1"/>
          <w:sz w:val="22"/>
          <w:szCs w:val="22"/>
          <w:lang w:val="ru-RU"/>
        </w:rPr>
        <w:t>LGD</w:t>
      </w:r>
      <w:r w:rsidRPr="00114F3F">
        <w:rPr>
          <w:rStyle w:val="subscript"/>
          <w:rFonts w:eastAsia="Arial Unicode MS"/>
          <w:color w:val="000000" w:themeColor="text1"/>
          <w:sz w:val="22"/>
          <w:szCs w:val="22"/>
          <w:vertAlign w:val="subscript"/>
          <w:lang w:val="ru-RU"/>
        </w:rPr>
        <w:t>S</w:t>
      </w:r>
      <w:r w:rsidRPr="00114F3F">
        <w:rPr>
          <w:rFonts w:eastAsia="Arial Unicode MS"/>
          <w:color w:val="000000" w:themeColor="text1"/>
          <w:sz w:val="22"/>
          <w:szCs w:val="22"/>
          <w:lang w:val="ru-RU"/>
        </w:rPr>
        <w:t xml:space="preserve"> </w:t>
      </w:r>
      <w:r w:rsidR="00114F3F" w:rsidRPr="00114F3F">
        <w:rPr>
          <w:rFonts w:eastAsia="Arial Unicode MS"/>
          <w:color w:val="000000" w:themeColor="text1"/>
          <w:sz w:val="22"/>
          <w:szCs w:val="22"/>
          <w:lang w:val="ru-RU"/>
        </w:rPr>
        <w:t>и</w:t>
      </w:r>
      <w:r w:rsidRPr="00114F3F">
        <w:rPr>
          <w:rFonts w:eastAsia="Arial Unicode MS"/>
          <w:color w:val="000000" w:themeColor="text1"/>
          <w:sz w:val="22"/>
          <w:szCs w:val="22"/>
          <w:lang w:val="ru-RU"/>
        </w:rPr>
        <w:t xml:space="preserve"> </w:t>
      </w:r>
      <w:proofErr w:type="spellStart"/>
      <w:r w:rsidRPr="00114F3F">
        <w:rPr>
          <w:rFonts w:eastAsia="Arial Unicode MS"/>
          <w:color w:val="000000" w:themeColor="text1"/>
          <w:sz w:val="22"/>
          <w:szCs w:val="22"/>
          <w:lang w:val="ru-RU"/>
        </w:rPr>
        <w:t>H</w:t>
      </w:r>
      <w:r w:rsidRPr="00114F3F">
        <w:rPr>
          <w:rStyle w:val="subscript"/>
          <w:rFonts w:eastAsia="Arial Unicode MS"/>
          <w:color w:val="000000" w:themeColor="text1"/>
          <w:sz w:val="22"/>
          <w:szCs w:val="22"/>
          <w:vertAlign w:val="subscript"/>
          <w:lang w:val="ru-RU"/>
        </w:rPr>
        <w:t>c</w:t>
      </w:r>
      <w:proofErr w:type="spellEnd"/>
      <w:r w:rsidR="00114F3F" w:rsidRPr="00114F3F">
        <w:rPr>
          <w:rFonts w:eastAsia="Arial Unicode MS"/>
          <w:color w:val="000000" w:themeColor="text1"/>
          <w:sz w:val="22"/>
          <w:szCs w:val="22"/>
          <w:lang w:val="ru-RU"/>
        </w:rPr>
        <w:t>, применимые в формуле, установленной в пункте</w:t>
      </w:r>
      <w:r w:rsidRPr="00884D1F">
        <w:rPr>
          <w:rFonts w:eastAsia="Arial Unicode MS"/>
          <w:color w:val="000000" w:themeColor="text1"/>
          <w:sz w:val="22"/>
          <w:szCs w:val="22"/>
          <w:lang w:val="ro-RO"/>
        </w:rPr>
        <w:t xml:space="preserve"> 107</w:t>
      </w:r>
      <w:r w:rsidRPr="00884D1F">
        <w:rPr>
          <w:rFonts w:eastAsia="Arial Unicode MS"/>
          <w:color w:val="000000" w:themeColor="text1"/>
          <w:sz w:val="22"/>
          <w:szCs w:val="22"/>
          <w:vertAlign w:val="superscript"/>
          <w:lang w:val="ro-RO"/>
        </w:rPr>
        <w:t>6</w:t>
      </w:r>
      <w:r w:rsidRPr="00884D1F">
        <w:rPr>
          <w:rFonts w:eastAsia="Arial Unicode MS"/>
          <w:color w:val="000000" w:themeColor="text1"/>
          <w:sz w:val="22"/>
          <w:szCs w:val="22"/>
          <w:lang w:val="ro-RO"/>
        </w:rPr>
        <w:t>.</w:t>
      </w:r>
    </w:p>
    <w:p w14:paraId="78AD38E3" w14:textId="2EBE8DF7" w:rsidR="006F667E" w:rsidRPr="00884D1F" w:rsidRDefault="007F7D86" w:rsidP="006F667E">
      <w:pPr>
        <w:pStyle w:val="title-table"/>
        <w:shd w:val="clear" w:color="auto" w:fill="FFFFFF"/>
        <w:spacing w:before="0" w:beforeAutospacing="0" w:after="120" w:afterAutospacing="0" w:line="312" w:lineRule="atLeast"/>
        <w:ind w:right="566"/>
        <w:jc w:val="right"/>
        <w:rPr>
          <w:rFonts w:eastAsia="Arial Unicode MS"/>
          <w:b/>
          <w:bCs/>
          <w:color w:val="000000" w:themeColor="text1"/>
          <w:sz w:val="22"/>
          <w:szCs w:val="22"/>
          <w:lang w:val="ro-RO"/>
        </w:rPr>
      </w:pPr>
      <w:r>
        <w:rPr>
          <w:rFonts w:eastAsia="Arial Unicode MS"/>
          <w:b/>
          <w:bCs/>
          <w:color w:val="000000" w:themeColor="text1"/>
          <w:sz w:val="22"/>
          <w:szCs w:val="22"/>
          <w:lang w:val="ru-RU"/>
        </w:rPr>
        <w:t xml:space="preserve">Таблица № </w:t>
      </w:r>
      <w:r w:rsidR="006F667E" w:rsidRPr="00884D1F">
        <w:rPr>
          <w:rFonts w:eastAsia="Arial Unicode MS"/>
          <w:b/>
          <w:bCs/>
          <w:color w:val="000000" w:themeColor="text1"/>
          <w:sz w:val="22"/>
          <w:szCs w:val="22"/>
          <w:lang w:val="ro-RO"/>
        </w:rPr>
        <w:t>5</w:t>
      </w:r>
    </w:p>
    <w:tbl>
      <w:tblPr>
        <w:tblW w:w="941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23"/>
        <w:gridCol w:w="615"/>
        <w:gridCol w:w="5077"/>
      </w:tblGrid>
      <w:tr w:rsidR="00F165DA" w:rsidRPr="00884D1F" w14:paraId="7C28EFE5"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286C5B8C" w14:textId="30371EC5" w:rsidR="006F667E" w:rsidRPr="00CC646A" w:rsidRDefault="00E33EE5" w:rsidP="008D25C5">
            <w:pPr>
              <w:pStyle w:val="tbl-norm"/>
              <w:spacing w:before="0" w:beforeAutospacing="0" w:after="0" w:afterAutospacing="0" w:line="312" w:lineRule="atLeast"/>
              <w:jc w:val="both"/>
              <w:rPr>
                <w:b/>
                <w:bCs/>
                <w:color w:val="000000" w:themeColor="text1"/>
                <w:sz w:val="22"/>
                <w:szCs w:val="22"/>
                <w:lang w:val="ru-RU"/>
              </w:rPr>
            </w:pPr>
            <w:r>
              <w:rPr>
                <w:b/>
                <w:bCs/>
                <w:color w:val="000000" w:themeColor="text1"/>
                <w:sz w:val="22"/>
                <w:szCs w:val="22"/>
                <w:lang w:val="ru-RU"/>
              </w:rPr>
              <w:t>Вид</w:t>
            </w:r>
            <w:r w:rsidR="006F667E" w:rsidRPr="00884D1F">
              <w:rPr>
                <w:b/>
                <w:bCs/>
                <w:color w:val="000000" w:themeColor="text1"/>
                <w:sz w:val="22"/>
                <w:szCs w:val="22"/>
                <w:lang w:val="ro-RO"/>
              </w:rPr>
              <w:t xml:space="preserve"> </w:t>
            </w:r>
            <w:r w:rsidR="00CC646A" w:rsidRPr="00CC646A">
              <w:rPr>
                <w:b/>
                <w:bCs/>
                <w:color w:val="000000" w:themeColor="text1"/>
                <w:sz w:val="22"/>
                <w:szCs w:val="22"/>
                <w:lang w:val="ru-RU"/>
              </w:rPr>
              <w:t>финансируемой защиты кредита (</w:t>
            </w:r>
            <w:r w:rsidR="006F667E" w:rsidRPr="00884D1F">
              <w:rPr>
                <w:b/>
                <w:bCs/>
                <w:color w:val="000000" w:themeColor="text1"/>
                <w:sz w:val="22"/>
                <w:szCs w:val="22"/>
                <w:lang w:val="ro-RO"/>
              </w:rPr>
              <w:t>FCP</w:t>
            </w:r>
            <w:r w:rsidR="00CC646A">
              <w:rPr>
                <w:b/>
                <w:bCs/>
                <w:color w:val="000000" w:themeColor="text1"/>
                <w:sz w:val="22"/>
                <w:szCs w:val="22"/>
                <w:lang w:val="ru-RU"/>
              </w:rPr>
              <w:t>)</w:t>
            </w:r>
          </w:p>
        </w:tc>
        <w:tc>
          <w:tcPr>
            <w:tcW w:w="0" w:type="auto"/>
            <w:tcBorders>
              <w:top w:val="outset" w:sz="6" w:space="0" w:color="auto"/>
              <w:left w:val="outset" w:sz="6" w:space="0" w:color="auto"/>
              <w:bottom w:val="outset" w:sz="6" w:space="0" w:color="auto"/>
              <w:right w:val="outset" w:sz="6" w:space="0" w:color="auto"/>
            </w:tcBorders>
            <w:hideMark/>
          </w:tcPr>
          <w:p w14:paraId="6000BFBB" w14:textId="77777777" w:rsidR="006F667E" w:rsidRPr="00884D1F" w:rsidRDefault="006F667E" w:rsidP="008D25C5">
            <w:pPr>
              <w:pStyle w:val="tbl-norm"/>
              <w:spacing w:before="0" w:beforeAutospacing="0" w:after="0" w:afterAutospacing="0" w:line="312" w:lineRule="atLeast"/>
              <w:jc w:val="both"/>
              <w:rPr>
                <w:b/>
                <w:bCs/>
                <w:color w:val="000000" w:themeColor="text1"/>
                <w:sz w:val="22"/>
                <w:szCs w:val="22"/>
                <w:lang w:val="ro-RO"/>
              </w:rPr>
            </w:pPr>
            <w:r w:rsidRPr="00884D1F">
              <w:rPr>
                <w:b/>
                <w:bCs/>
                <w:color w:val="000000" w:themeColor="text1"/>
                <w:sz w:val="22"/>
                <w:szCs w:val="22"/>
                <w:lang w:val="ro-RO"/>
              </w:rPr>
              <w:t>LGD</w:t>
            </w:r>
            <w:r w:rsidRPr="00884D1F">
              <w:rPr>
                <w:rStyle w:val="subscript"/>
                <w:b/>
                <w:bCs/>
                <w:color w:val="000000" w:themeColor="text1"/>
                <w:sz w:val="22"/>
                <w:szCs w:val="22"/>
                <w:vertAlign w:val="subscript"/>
                <w:lang w:val="ro-RO"/>
              </w:rPr>
              <w:t>S</w:t>
            </w:r>
          </w:p>
        </w:tc>
        <w:tc>
          <w:tcPr>
            <w:tcW w:w="0" w:type="auto"/>
            <w:tcBorders>
              <w:top w:val="outset" w:sz="6" w:space="0" w:color="auto"/>
              <w:left w:val="outset" w:sz="6" w:space="0" w:color="auto"/>
              <w:bottom w:val="outset" w:sz="6" w:space="0" w:color="auto"/>
              <w:right w:val="outset" w:sz="6" w:space="0" w:color="auto"/>
            </w:tcBorders>
            <w:hideMark/>
          </w:tcPr>
          <w:p w14:paraId="17C859C7" w14:textId="10CC117F" w:rsidR="006F667E" w:rsidRPr="00884D1F" w:rsidRDefault="00E33EE5" w:rsidP="008D25C5">
            <w:pPr>
              <w:pStyle w:val="tbl-norm"/>
              <w:spacing w:before="0" w:beforeAutospacing="0" w:after="0" w:afterAutospacing="0" w:line="312" w:lineRule="atLeast"/>
              <w:jc w:val="both"/>
              <w:rPr>
                <w:b/>
                <w:bCs/>
                <w:color w:val="000000" w:themeColor="text1"/>
                <w:sz w:val="22"/>
                <w:szCs w:val="22"/>
                <w:lang w:val="ro-RO"/>
              </w:rPr>
            </w:pPr>
            <w:r>
              <w:rPr>
                <w:b/>
                <w:bCs/>
                <w:color w:val="000000" w:themeColor="text1"/>
                <w:sz w:val="22"/>
                <w:szCs w:val="22"/>
                <w:lang w:val="ru-RU"/>
              </w:rPr>
              <w:t xml:space="preserve">Корректировка волатильности </w:t>
            </w:r>
            <w:r w:rsidR="006F667E" w:rsidRPr="00884D1F">
              <w:rPr>
                <w:b/>
                <w:bCs/>
                <w:color w:val="000000" w:themeColor="text1"/>
                <w:sz w:val="22"/>
                <w:szCs w:val="22"/>
                <w:lang w:val="ro-RO"/>
              </w:rPr>
              <w:t>(H</w:t>
            </w:r>
            <w:r w:rsidR="006F667E" w:rsidRPr="00884D1F">
              <w:rPr>
                <w:rStyle w:val="subscript"/>
                <w:b/>
                <w:bCs/>
                <w:color w:val="000000" w:themeColor="text1"/>
                <w:sz w:val="22"/>
                <w:szCs w:val="22"/>
                <w:vertAlign w:val="subscript"/>
                <w:lang w:val="ro-RO"/>
              </w:rPr>
              <w:t>c</w:t>
            </w:r>
            <w:r w:rsidR="006F667E" w:rsidRPr="00884D1F">
              <w:rPr>
                <w:b/>
                <w:bCs/>
                <w:color w:val="000000" w:themeColor="text1"/>
                <w:sz w:val="22"/>
                <w:szCs w:val="22"/>
                <w:lang w:val="ro-RO"/>
              </w:rPr>
              <w:t>)</w:t>
            </w:r>
          </w:p>
        </w:tc>
      </w:tr>
      <w:tr w:rsidR="00F165DA" w:rsidRPr="007544BA" w14:paraId="6E016A96"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98824C5" w14:textId="5E71AE9B" w:rsidR="006F667E" w:rsidRPr="00F165DA" w:rsidRDefault="00E33EE5"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Финансовые гарантии</w:t>
            </w:r>
          </w:p>
        </w:tc>
        <w:tc>
          <w:tcPr>
            <w:tcW w:w="0" w:type="auto"/>
            <w:tcBorders>
              <w:top w:val="outset" w:sz="6" w:space="0" w:color="auto"/>
              <w:left w:val="outset" w:sz="6" w:space="0" w:color="auto"/>
              <w:bottom w:val="outset" w:sz="6" w:space="0" w:color="auto"/>
              <w:right w:val="outset" w:sz="6" w:space="0" w:color="auto"/>
            </w:tcBorders>
            <w:hideMark/>
          </w:tcPr>
          <w:p w14:paraId="06F767B8"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0 %</w:t>
            </w:r>
          </w:p>
        </w:tc>
        <w:tc>
          <w:tcPr>
            <w:tcW w:w="0" w:type="auto"/>
            <w:tcBorders>
              <w:top w:val="outset" w:sz="6" w:space="0" w:color="auto"/>
              <w:left w:val="outset" w:sz="6" w:space="0" w:color="auto"/>
              <w:bottom w:val="outset" w:sz="6" w:space="0" w:color="auto"/>
              <w:right w:val="outset" w:sz="6" w:space="0" w:color="auto"/>
            </w:tcBorders>
            <w:hideMark/>
          </w:tcPr>
          <w:p w14:paraId="5C52C2A0" w14:textId="1FD3AD13" w:rsidR="006F667E" w:rsidRPr="00F165DA" w:rsidRDefault="00F165DA"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Корректировка волатильности</w:t>
            </w:r>
            <w:r w:rsidR="006F667E" w:rsidRPr="00F165DA">
              <w:rPr>
                <w:color w:val="000000" w:themeColor="text1"/>
                <w:sz w:val="22"/>
                <w:szCs w:val="22"/>
                <w:lang w:val="ru-RU"/>
              </w:rPr>
              <w:t xml:space="preserve"> </w:t>
            </w:r>
            <w:proofErr w:type="spellStart"/>
            <w:r w:rsidR="006F667E" w:rsidRPr="00F165DA">
              <w:rPr>
                <w:color w:val="000000" w:themeColor="text1"/>
                <w:sz w:val="22"/>
                <w:szCs w:val="22"/>
                <w:lang w:val="ru-RU"/>
              </w:rPr>
              <w:t>H</w:t>
            </w:r>
            <w:r w:rsidR="006F667E" w:rsidRPr="00F165DA">
              <w:rPr>
                <w:rStyle w:val="subscript"/>
                <w:color w:val="000000" w:themeColor="text1"/>
                <w:sz w:val="22"/>
                <w:szCs w:val="22"/>
                <w:vertAlign w:val="subscript"/>
                <w:lang w:val="ru-RU"/>
              </w:rPr>
              <w:t>c</w:t>
            </w:r>
            <w:proofErr w:type="spellEnd"/>
            <w:r w:rsidRPr="00F165DA">
              <w:rPr>
                <w:color w:val="000000" w:themeColor="text1"/>
                <w:sz w:val="22"/>
                <w:szCs w:val="22"/>
                <w:lang w:val="ru-RU"/>
              </w:rPr>
              <w:t>, установленная в пунктах</w:t>
            </w:r>
            <w:r w:rsidR="006F667E" w:rsidRPr="00F165DA">
              <w:rPr>
                <w:rFonts w:eastAsia="Arial Unicode MS"/>
                <w:color w:val="000000" w:themeColor="text1"/>
                <w:sz w:val="22"/>
                <w:szCs w:val="22"/>
                <w:lang w:val="ru-RU"/>
              </w:rPr>
              <w:t xml:space="preserve"> 95-105</w:t>
            </w:r>
          </w:p>
        </w:tc>
      </w:tr>
      <w:tr w:rsidR="00F165DA" w:rsidRPr="00884D1F" w14:paraId="3C24B54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4762DD00" w14:textId="4AEB2DE3" w:rsidR="006F667E" w:rsidRPr="00F165DA" w:rsidRDefault="00E33EE5"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 xml:space="preserve">Требования </w:t>
            </w:r>
          </w:p>
        </w:tc>
        <w:tc>
          <w:tcPr>
            <w:tcW w:w="0" w:type="auto"/>
            <w:tcBorders>
              <w:top w:val="outset" w:sz="6" w:space="0" w:color="auto"/>
              <w:left w:val="outset" w:sz="6" w:space="0" w:color="auto"/>
              <w:bottom w:val="outset" w:sz="6" w:space="0" w:color="auto"/>
              <w:right w:val="outset" w:sz="6" w:space="0" w:color="auto"/>
            </w:tcBorders>
            <w:hideMark/>
          </w:tcPr>
          <w:p w14:paraId="36C5210B"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20 %</w:t>
            </w:r>
          </w:p>
        </w:tc>
        <w:tc>
          <w:tcPr>
            <w:tcW w:w="0" w:type="auto"/>
            <w:tcBorders>
              <w:top w:val="outset" w:sz="6" w:space="0" w:color="auto"/>
              <w:left w:val="outset" w:sz="6" w:space="0" w:color="auto"/>
              <w:bottom w:val="outset" w:sz="6" w:space="0" w:color="auto"/>
              <w:right w:val="outset" w:sz="6" w:space="0" w:color="auto"/>
            </w:tcBorders>
            <w:hideMark/>
          </w:tcPr>
          <w:p w14:paraId="439166E2"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40 %</w:t>
            </w:r>
          </w:p>
        </w:tc>
      </w:tr>
      <w:tr w:rsidR="00F165DA" w:rsidRPr="00884D1F" w14:paraId="15231BB0"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4C5CEE" w14:textId="474061F6" w:rsidR="006F667E" w:rsidRPr="00F165DA" w:rsidRDefault="00F165DA"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Жилая и коммерческая недвижимость</w:t>
            </w:r>
          </w:p>
        </w:tc>
        <w:tc>
          <w:tcPr>
            <w:tcW w:w="0" w:type="auto"/>
            <w:tcBorders>
              <w:top w:val="outset" w:sz="6" w:space="0" w:color="auto"/>
              <w:left w:val="outset" w:sz="6" w:space="0" w:color="auto"/>
              <w:bottom w:val="outset" w:sz="6" w:space="0" w:color="auto"/>
              <w:right w:val="outset" w:sz="6" w:space="0" w:color="auto"/>
            </w:tcBorders>
            <w:hideMark/>
          </w:tcPr>
          <w:p w14:paraId="7796105E"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20 %</w:t>
            </w:r>
          </w:p>
        </w:tc>
        <w:tc>
          <w:tcPr>
            <w:tcW w:w="0" w:type="auto"/>
            <w:tcBorders>
              <w:top w:val="outset" w:sz="6" w:space="0" w:color="auto"/>
              <w:left w:val="outset" w:sz="6" w:space="0" w:color="auto"/>
              <w:bottom w:val="outset" w:sz="6" w:space="0" w:color="auto"/>
              <w:right w:val="outset" w:sz="6" w:space="0" w:color="auto"/>
            </w:tcBorders>
            <w:hideMark/>
          </w:tcPr>
          <w:p w14:paraId="52FED44B"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40 %</w:t>
            </w:r>
          </w:p>
        </w:tc>
      </w:tr>
      <w:tr w:rsidR="00F165DA" w:rsidRPr="00884D1F" w14:paraId="34ACE08F"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7EE9EBA0" w14:textId="3AC18D27" w:rsidR="006F667E" w:rsidRPr="00F165DA" w:rsidRDefault="00F165DA"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Прочее материальное обеспечение</w:t>
            </w:r>
          </w:p>
        </w:tc>
        <w:tc>
          <w:tcPr>
            <w:tcW w:w="0" w:type="auto"/>
            <w:tcBorders>
              <w:top w:val="outset" w:sz="6" w:space="0" w:color="auto"/>
              <w:left w:val="outset" w:sz="6" w:space="0" w:color="auto"/>
              <w:bottom w:val="outset" w:sz="6" w:space="0" w:color="auto"/>
              <w:right w:val="outset" w:sz="6" w:space="0" w:color="auto"/>
            </w:tcBorders>
            <w:hideMark/>
          </w:tcPr>
          <w:p w14:paraId="6F015E45"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25 %</w:t>
            </w:r>
          </w:p>
        </w:tc>
        <w:tc>
          <w:tcPr>
            <w:tcW w:w="0" w:type="auto"/>
            <w:tcBorders>
              <w:top w:val="outset" w:sz="6" w:space="0" w:color="auto"/>
              <w:left w:val="outset" w:sz="6" w:space="0" w:color="auto"/>
              <w:bottom w:val="outset" w:sz="6" w:space="0" w:color="auto"/>
              <w:right w:val="outset" w:sz="6" w:space="0" w:color="auto"/>
            </w:tcBorders>
            <w:hideMark/>
          </w:tcPr>
          <w:p w14:paraId="228A74BB"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40 %</w:t>
            </w:r>
          </w:p>
        </w:tc>
      </w:tr>
      <w:tr w:rsidR="00F165DA" w:rsidRPr="00884D1F" w14:paraId="7E8DA5EA" w14:textId="77777777" w:rsidTr="008D25C5">
        <w:trPr>
          <w:jc w:val="center"/>
        </w:trPr>
        <w:tc>
          <w:tcPr>
            <w:tcW w:w="0" w:type="auto"/>
            <w:tcBorders>
              <w:top w:val="outset" w:sz="6" w:space="0" w:color="auto"/>
              <w:left w:val="outset" w:sz="6" w:space="0" w:color="auto"/>
              <w:bottom w:val="outset" w:sz="6" w:space="0" w:color="auto"/>
              <w:right w:val="outset" w:sz="6" w:space="0" w:color="auto"/>
            </w:tcBorders>
            <w:hideMark/>
          </w:tcPr>
          <w:p w14:paraId="672F9162" w14:textId="47FE54AE" w:rsidR="006F667E" w:rsidRPr="00F165DA" w:rsidRDefault="00F165DA"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Неприемлемая финансируемая защита кредита</w:t>
            </w:r>
          </w:p>
        </w:tc>
        <w:tc>
          <w:tcPr>
            <w:tcW w:w="0" w:type="auto"/>
            <w:tcBorders>
              <w:top w:val="outset" w:sz="6" w:space="0" w:color="auto"/>
              <w:left w:val="outset" w:sz="6" w:space="0" w:color="auto"/>
              <w:bottom w:val="outset" w:sz="6" w:space="0" w:color="auto"/>
              <w:right w:val="outset" w:sz="6" w:space="0" w:color="auto"/>
            </w:tcBorders>
            <w:hideMark/>
          </w:tcPr>
          <w:p w14:paraId="26E948BA"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N/A</w:t>
            </w:r>
          </w:p>
        </w:tc>
        <w:tc>
          <w:tcPr>
            <w:tcW w:w="0" w:type="auto"/>
            <w:tcBorders>
              <w:top w:val="outset" w:sz="6" w:space="0" w:color="auto"/>
              <w:left w:val="outset" w:sz="6" w:space="0" w:color="auto"/>
              <w:bottom w:val="outset" w:sz="6" w:space="0" w:color="auto"/>
              <w:right w:val="outset" w:sz="6" w:space="0" w:color="auto"/>
            </w:tcBorders>
            <w:hideMark/>
          </w:tcPr>
          <w:p w14:paraId="5E97BF2A" w14:textId="77777777" w:rsidR="006F667E" w:rsidRPr="00F165DA" w:rsidRDefault="006F667E" w:rsidP="008D25C5">
            <w:pPr>
              <w:pStyle w:val="tbl-norm"/>
              <w:spacing w:before="0" w:beforeAutospacing="0" w:after="0" w:afterAutospacing="0" w:line="312" w:lineRule="atLeast"/>
              <w:jc w:val="both"/>
              <w:rPr>
                <w:color w:val="000000" w:themeColor="text1"/>
                <w:sz w:val="22"/>
                <w:szCs w:val="22"/>
                <w:lang w:val="ru-RU"/>
              </w:rPr>
            </w:pPr>
            <w:r w:rsidRPr="00F165DA">
              <w:rPr>
                <w:color w:val="000000" w:themeColor="text1"/>
                <w:sz w:val="22"/>
                <w:szCs w:val="22"/>
                <w:lang w:val="ru-RU"/>
              </w:rPr>
              <w:t>100 %</w:t>
            </w:r>
          </w:p>
        </w:tc>
      </w:tr>
    </w:tbl>
    <w:p w14:paraId="19F58896" w14:textId="5D232FC8" w:rsidR="00B0076E" w:rsidRPr="00B0076E" w:rsidRDefault="006F667E" w:rsidP="006F667E">
      <w:pPr>
        <w:shd w:val="clear" w:color="auto" w:fill="FFFFFF"/>
        <w:spacing w:before="120"/>
        <w:jc w:val="both"/>
        <w:rPr>
          <w:color w:val="000000" w:themeColor="text1"/>
          <w:sz w:val="22"/>
          <w:szCs w:val="22"/>
          <w:lang w:val="ru-RU"/>
        </w:rPr>
      </w:pPr>
      <w:r w:rsidRPr="00884D1F">
        <w:rPr>
          <w:b/>
          <w:bCs/>
          <w:color w:val="000000" w:themeColor="text1"/>
          <w:sz w:val="22"/>
          <w:szCs w:val="22"/>
          <w:lang w:val="ro-RO"/>
        </w:rPr>
        <w:t>107</w:t>
      </w:r>
      <w:r w:rsidRPr="00884D1F">
        <w:rPr>
          <w:b/>
          <w:bCs/>
          <w:color w:val="000000" w:themeColor="text1"/>
          <w:sz w:val="22"/>
          <w:szCs w:val="22"/>
          <w:vertAlign w:val="superscript"/>
          <w:lang w:val="ro-RO"/>
        </w:rPr>
        <w:t>8</w:t>
      </w:r>
      <w:r w:rsidRPr="00884D1F">
        <w:rPr>
          <w:b/>
          <w:bCs/>
          <w:color w:val="000000" w:themeColor="text1"/>
          <w:sz w:val="22"/>
          <w:szCs w:val="22"/>
          <w:lang w:val="ro-RO"/>
        </w:rPr>
        <w:t xml:space="preserve">. </w:t>
      </w:r>
      <w:r w:rsidR="00B0076E" w:rsidRPr="00B0076E">
        <w:rPr>
          <w:color w:val="000000" w:themeColor="text1"/>
          <w:sz w:val="22"/>
          <w:szCs w:val="22"/>
          <w:lang w:val="ru-RU"/>
        </w:rPr>
        <w:t>В случаях, когда соответствующая финансируемая защита кредита выражена в валюте, отличной от валюты риска, корректировка волатильности для валютного несоответствия (</w:t>
      </w:r>
      <w:proofErr w:type="spellStart"/>
      <w:r w:rsidR="00B0076E" w:rsidRPr="00884D1F">
        <w:rPr>
          <w:rFonts w:eastAsia="Arial Unicode MS"/>
          <w:color w:val="000000" w:themeColor="text1"/>
          <w:sz w:val="22"/>
          <w:szCs w:val="22"/>
          <w:lang w:val="ro-RO"/>
        </w:rPr>
        <w:t>H</w:t>
      </w:r>
      <w:r w:rsidR="00B0076E" w:rsidRPr="00884D1F">
        <w:rPr>
          <w:rStyle w:val="subscript"/>
          <w:rFonts w:eastAsia="Arial Unicode MS"/>
          <w:color w:val="000000" w:themeColor="text1"/>
          <w:sz w:val="22"/>
          <w:szCs w:val="22"/>
          <w:vertAlign w:val="subscript"/>
          <w:lang w:val="ro-RO"/>
        </w:rPr>
        <w:t>fx</w:t>
      </w:r>
      <w:proofErr w:type="spellEnd"/>
      <w:r w:rsidR="00B0076E" w:rsidRPr="00B0076E">
        <w:rPr>
          <w:color w:val="000000" w:themeColor="text1"/>
          <w:sz w:val="22"/>
          <w:szCs w:val="22"/>
          <w:lang w:val="ru-RU"/>
        </w:rPr>
        <w:t>) осуществляется так же, как и в пунктах 95–105.</w:t>
      </w:r>
    </w:p>
    <w:p w14:paraId="34D4FA0C" w14:textId="37AC12DA" w:rsidR="00FE60E1" w:rsidRPr="00FE60E1" w:rsidRDefault="006F667E" w:rsidP="006F667E">
      <w:pPr>
        <w:shd w:val="clear" w:color="auto" w:fill="FFFFFF"/>
        <w:jc w:val="both"/>
        <w:rPr>
          <w:color w:val="000000" w:themeColor="text1"/>
          <w:sz w:val="22"/>
          <w:szCs w:val="22"/>
          <w:lang w:val="ru-RU"/>
        </w:rPr>
      </w:pPr>
      <w:r w:rsidRPr="00884D1F">
        <w:rPr>
          <w:b/>
          <w:bCs/>
          <w:color w:val="000000" w:themeColor="text1"/>
          <w:sz w:val="22"/>
          <w:szCs w:val="22"/>
          <w:lang w:val="ro-RO"/>
        </w:rPr>
        <w:t>107</w:t>
      </w:r>
      <w:r w:rsidRPr="00884D1F">
        <w:rPr>
          <w:b/>
          <w:bCs/>
          <w:color w:val="000000" w:themeColor="text1"/>
          <w:sz w:val="22"/>
          <w:szCs w:val="22"/>
          <w:vertAlign w:val="superscript"/>
          <w:lang w:val="ro-RO"/>
        </w:rPr>
        <w:t>9</w:t>
      </w:r>
      <w:r w:rsidRPr="00884D1F">
        <w:rPr>
          <w:b/>
          <w:bCs/>
          <w:color w:val="000000" w:themeColor="text1"/>
          <w:sz w:val="22"/>
          <w:szCs w:val="22"/>
          <w:lang w:val="ro-RO"/>
        </w:rPr>
        <w:t xml:space="preserve">. </w:t>
      </w:r>
      <w:r w:rsidR="00FE60E1" w:rsidRPr="00FE60E1">
        <w:rPr>
          <w:color w:val="000000" w:themeColor="text1"/>
          <w:sz w:val="22"/>
          <w:szCs w:val="22"/>
          <w:lang w:val="ru-RU"/>
        </w:rPr>
        <w:t>В качестве альтернативы подходу, изложенному в пунктах 107</w:t>
      </w:r>
      <w:r w:rsidR="00FE60E1">
        <w:rPr>
          <w:color w:val="000000" w:themeColor="text1"/>
          <w:sz w:val="22"/>
          <w:szCs w:val="22"/>
          <w:vertAlign w:val="superscript"/>
          <w:lang w:val="ru-RU"/>
        </w:rPr>
        <w:t>6</w:t>
      </w:r>
      <w:r w:rsidR="00FE60E1" w:rsidRPr="00FE60E1">
        <w:rPr>
          <w:color w:val="000000" w:themeColor="text1"/>
          <w:sz w:val="22"/>
          <w:szCs w:val="22"/>
          <w:lang w:val="ru-RU"/>
        </w:rPr>
        <w:t>-107</w:t>
      </w:r>
      <w:r w:rsidR="00FE60E1">
        <w:rPr>
          <w:color w:val="000000" w:themeColor="text1"/>
          <w:sz w:val="22"/>
          <w:szCs w:val="22"/>
          <w:vertAlign w:val="superscript"/>
          <w:lang w:val="ru-RU"/>
        </w:rPr>
        <w:t>7</w:t>
      </w:r>
      <w:r w:rsidR="00FE60E1" w:rsidRPr="00FE60E1">
        <w:rPr>
          <w:color w:val="000000" w:themeColor="text1"/>
          <w:sz w:val="22"/>
          <w:szCs w:val="22"/>
          <w:lang w:val="ru-RU"/>
        </w:rPr>
        <w:t>, и с учетом пунктов 68</w:t>
      </w:r>
      <w:r w:rsidR="00FE60E1">
        <w:rPr>
          <w:color w:val="000000" w:themeColor="text1"/>
          <w:sz w:val="22"/>
          <w:szCs w:val="22"/>
          <w:vertAlign w:val="superscript"/>
          <w:lang w:val="ru-RU"/>
        </w:rPr>
        <w:t>3</w:t>
      </w:r>
      <w:r w:rsidR="00FE60E1" w:rsidRPr="00FE60E1">
        <w:rPr>
          <w:color w:val="000000" w:themeColor="text1"/>
          <w:sz w:val="22"/>
          <w:szCs w:val="22"/>
          <w:lang w:val="ru-RU"/>
        </w:rPr>
        <w:t>-68</w:t>
      </w:r>
      <w:r w:rsidR="00FE60E1">
        <w:rPr>
          <w:color w:val="000000" w:themeColor="text1"/>
          <w:sz w:val="22"/>
          <w:szCs w:val="22"/>
          <w:vertAlign w:val="superscript"/>
          <w:lang w:val="ru-RU"/>
        </w:rPr>
        <w:t>6</w:t>
      </w:r>
      <w:r w:rsidR="00FE60E1" w:rsidRPr="00FE60E1">
        <w:rPr>
          <w:color w:val="000000" w:themeColor="text1"/>
          <w:sz w:val="22"/>
          <w:szCs w:val="22"/>
          <w:lang w:val="ru-RU"/>
        </w:rPr>
        <w:t xml:space="preserve"> Регламента № 111/2018, банки могут присвоить 50%-</w:t>
      </w:r>
      <w:proofErr w:type="spellStart"/>
      <w:r w:rsidR="00FE60E1" w:rsidRPr="00FE60E1">
        <w:rPr>
          <w:color w:val="000000" w:themeColor="text1"/>
          <w:sz w:val="22"/>
          <w:szCs w:val="22"/>
          <w:lang w:val="ru-RU"/>
        </w:rPr>
        <w:t>ный</w:t>
      </w:r>
      <w:proofErr w:type="spellEnd"/>
      <w:r w:rsidR="00FE60E1" w:rsidRPr="00FE60E1">
        <w:rPr>
          <w:color w:val="000000" w:themeColor="text1"/>
          <w:sz w:val="22"/>
          <w:szCs w:val="22"/>
          <w:lang w:val="ru-RU"/>
        </w:rPr>
        <w:t xml:space="preserve"> коэффициент риска той части </w:t>
      </w:r>
      <w:r w:rsidR="00FE60E1">
        <w:rPr>
          <w:color w:val="000000" w:themeColor="text1"/>
          <w:sz w:val="22"/>
          <w:szCs w:val="22"/>
          <w:lang w:val="ru-RU"/>
        </w:rPr>
        <w:t>подверженности</w:t>
      </w:r>
      <w:r w:rsidR="00FE60E1" w:rsidRPr="00FE60E1">
        <w:rPr>
          <w:color w:val="000000" w:themeColor="text1"/>
          <w:sz w:val="22"/>
          <w:szCs w:val="22"/>
          <w:lang w:val="ru-RU"/>
        </w:rPr>
        <w:t>, которая в пределах, установленных в пунктах 69 и 71 Регламента № 111/2018, полностью обеспечена жилой или коммерческой недвижимостью, при условии соблюдения всех условий, изложенных в пунктах 34</w:t>
      </w:r>
      <w:r w:rsidR="00A36902">
        <w:rPr>
          <w:color w:val="000000" w:themeColor="text1"/>
          <w:sz w:val="22"/>
          <w:szCs w:val="22"/>
          <w:vertAlign w:val="superscript"/>
          <w:lang w:val="ru-RU"/>
        </w:rPr>
        <w:t>4</w:t>
      </w:r>
      <w:r w:rsidR="00FE60E1" w:rsidRPr="00FE60E1">
        <w:rPr>
          <w:color w:val="000000" w:themeColor="text1"/>
          <w:sz w:val="22"/>
          <w:szCs w:val="22"/>
          <w:lang w:val="ru-RU"/>
        </w:rPr>
        <w:t>-34</w:t>
      </w:r>
      <w:r w:rsidR="00A36902">
        <w:rPr>
          <w:color w:val="000000" w:themeColor="text1"/>
          <w:sz w:val="22"/>
          <w:szCs w:val="22"/>
          <w:vertAlign w:val="superscript"/>
          <w:lang w:val="ru-RU"/>
        </w:rPr>
        <w:t>4</w:t>
      </w:r>
      <w:r w:rsidR="00FE60E1" w:rsidRPr="00FE60E1">
        <w:rPr>
          <w:color w:val="000000" w:themeColor="text1"/>
          <w:sz w:val="22"/>
          <w:szCs w:val="22"/>
          <w:lang w:val="ru-RU"/>
        </w:rPr>
        <w:t xml:space="preserve"> или 34</w:t>
      </w:r>
      <w:r w:rsidR="00A36902">
        <w:rPr>
          <w:color w:val="000000" w:themeColor="text1"/>
          <w:sz w:val="22"/>
          <w:szCs w:val="22"/>
          <w:vertAlign w:val="superscript"/>
          <w:lang w:val="ru-RU"/>
        </w:rPr>
        <w:t>6</w:t>
      </w:r>
      <w:r w:rsidR="00FE60E1" w:rsidRPr="00FE60E1">
        <w:rPr>
          <w:color w:val="000000" w:themeColor="text1"/>
          <w:sz w:val="22"/>
          <w:szCs w:val="22"/>
          <w:lang w:val="ru-RU"/>
        </w:rPr>
        <w:t>-34</w:t>
      </w:r>
      <w:r w:rsidR="00A36902">
        <w:rPr>
          <w:color w:val="000000" w:themeColor="text1"/>
          <w:sz w:val="22"/>
          <w:szCs w:val="22"/>
          <w:vertAlign w:val="superscript"/>
          <w:lang w:val="ru-RU"/>
        </w:rPr>
        <w:t>7</w:t>
      </w:r>
      <w:r w:rsidR="00FE60E1" w:rsidRPr="00FE60E1">
        <w:rPr>
          <w:color w:val="000000" w:themeColor="text1"/>
          <w:sz w:val="22"/>
          <w:szCs w:val="22"/>
          <w:lang w:val="ru-RU"/>
        </w:rPr>
        <w:t xml:space="preserve"> настоящего </w:t>
      </w:r>
      <w:r w:rsidR="00A36902">
        <w:rPr>
          <w:color w:val="000000" w:themeColor="text1"/>
          <w:sz w:val="22"/>
          <w:szCs w:val="22"/>
          <w:lang w:val="ru-RU"/>
        </w:rPr>
        <w:t>р</w:t>
      </w:r>
      <w:r w:rsidR="00FE60E1" w:rsidRPr="00FE60E1">
        <w:rPr>
          <w:color w:val="000000" w:themeColor="text1"/>
          <w:sz w:val="22"/>
          <w:szCs w:val="22"/>
          <w:lang w:val="ru-RU"/>
        </w:rPr>
        <w:t>егламента.</w:t>
      </w:r>
    </w:p>
    <w:p w14:paraId="376A240D" w14:textId="4A2A7EC2" w:rsidR="00E94E2E" w:rsidRPr="009D714B" w:rsidRDefault="006F667E" w:rsidP="006F667E">
      <w:pPr>
        <w:shd w:val="clear" w:color="auto" w:fill="FFFFFF"/>
        <w:jc w:val="both"/>
        <w:rPr>
          <w:rFonts w:eastAsia="Arial Unicode MS"/>
          <w:color w:val="000000" w:themeColor="text1"/>
          <w:sz w:val="22"/>
          <w:szCs w:val="22"/>
          <w:lang w:val="ru-RU"/>
        </w:rPr>
      </w:pPr>
      <w:r w:rsidRPr="009D714B">
        <w:rPr>
          <w:b/>
          <w:bCs/>
          <w:color w:val="000000" w:themeColor="text1"/>
          <w:sz w:val="22"/>
          <w:szCs w:val="22"/>
          <w:lang w:val="ru-RU"/>
        </w:rPr>
        <w:lastRenderedPageBreak/>
        <w:t>107</w:t>
      </w:r>
      <w:r w:rsidRPr="009D714B">
        <w:rPr>
          <w:b/>
          <w:bCs/>
          <w:color w:val="000000" w:themeColor="text1"/>
          <w:sz w:val="22"/>
          <w:szCs w:val="22"/>
          <w:vertAlign w:val="superscript"/>
          <w:lang w:val="ru-RU"/>
        </w:rPr>
        <w:t>10</w:t>
      </w:r>
      <w:r w:rsidRPr="009D714B">
        <w:rPr>
          <w:b/>
          <w:bCs/>
          <w:color w:val="000000" w:themeColor="text1"/>
          <w:sz w:val="22"/>
          <w:szCs w:val="22"/>
          <w:lang w:val="ru-RU"/>
        </w:rPr>
        <w:t xml:space="preserve">. </w:t>
      </w:r>
      <w:r w:rsidR="00CD3242" w:rsidRPr="009D714B">
        <w:rPr>
          <w:rFonts w:eastAsia="Arial Unicode MS"/>
          <w:color w:val="000000" w:themeColor="text1"/>
          <w:sz w:val="22"/>
          <w:szCs w:val="22"/>
          <w:lang w:val="ru-RU"/>
        </w:rPr>
        <w:t>Для расчета взвешенных по риску сумм подверженностей и ожидаемых сумм убытков по подверженностям, учитываемым в пунктах</w:t>
      </w:r>
      <w:r w:rsidRPr="009D714B">
        <w:rPr>
          <w:rFonts w:eastAsia="Arial Unicode MS"/>
          <w:color w:val="000000" w:themeColor="text1"/>
          <w:sz w:val="22"/>
          <w:szCs w:val="22"/>
          <w:lang w:val="ru-RU"/>
        </w:rPr>
        <w:t xml:space="preserve"> </w:t>
      </w:r>
      <w:r w:rsidR="00F0201D" w:rsidRPr="009D714B">
        <w:rPr>
          <w:rFonts w:eastAsia="Arial Unicode MS"/>
          <w:color w:val="000000" w:themeColor="text1"/>
          <w:sz w:val="22"/>
          <w:szCs w:val="22"/>
          <w:lang w:val="ru-RU"/>
        </w:rPr>
        <w:t>68–70</w:t>
      </w:r>
      <w:r w:rsidRPr="009D714B">
        <w:rPr>
          <w:rFonts w:eastAsia="Arial Unicode MS"/>
          <w:color w:val="000000" w:themeColor="text1"/>
          <w:sz w:val="22"/>
          <w:szCs w:val="22"/>
          <w:lang w:val="ru-RU"/>
        </w:rPr>
        <w:t xml:space="preserve">, </w:t>
      </w:r>
      <w:r w:rsidR="00CD3242" w:rsidRPr="009D714B">
        <w:rPr>
          <w:rFonts w:eastAsia="Arial Unicode MS"/>
          <w:color w:val="000000" w:themeColor="text1"/>
          <w:sz w:val="22"/>
          <w:szCs w:val="22"/>
          <w:lang w:val="ru-RU"/>
        </w:rPr>
        <w:t>банки используют</w:t>
      </w:r>
      <w:r w:rsidRPr="009D714B">
        <w:rPr>
          <w:rFonts w:eastAsia="Arial Unicode MS"/>
          <w:color w:val="000000" w:themeColor="text1"/>
          <w:sz w:val="22"/>
          <w:szCs w:val="22"/>
          <w:lang w:val="ru-RU"/>
        </w:rPr>
        <w:t xml:space="preserve"> E* </w:t>
      </w:r>
      <w:r w:rsidR="009D714B" w:rsidRPr="009D714B">
        <w:rPr>
          <w:rFonts w:eastAsia="Arial Unicode MS"/>
          <w:color w:val="000000" w:themeColor="text1"/>
          <w:sz w:val="22"/>
          <w:szCs w:val="22"/>
          <w:lang w:val="ru-RU"/>
        </w:rPr>
        <w:t>в соответствии</w:t>
      </w:r>
      <w:r w:rsidR="00E94E2E" w:rsidRPr="009D714B">
        <w:rPr>
          <w:rFonts w:eastAsia="Arial Unicode MS"/>
          <w:color w:val="000000" w:themeColor="text1"/>
          <w:sz w:val="22"/>
          <w:szCs w:val="22"/>
          <w:lang w:val="ru-RU"/>
        </w:rPr>
        <w:t xml:space="preserve"> с пунктом 71 и LGD для необеспеченных подверженностей, как это предусмотрено в нормативном акте Национального банка Молдовы об отношении к кредитному риску для банков </w:t>
      </w:r>
      <w:r w:rsidR="009D714B" w:rsidRPr="009D714B">
        <w:rPr>
          <w:rFonts w:eastAsia="Arial Unicode MS"/>
          <w:color w:val="000000" w:themeColor="text1"/>
          <w:sz w:val="22"/>
          <w:szCs w:val="22"/>
          <w:lang w:val="ru-RU"/>
        </w:rPr>
        <w:t>на основе подхода, основанного на внутренних рейтинговых моделях.</w:t>
      </w:r>
    </w:p>
    <w:p w14:paraId="5BEE6EE8" w14:textId="77777777" w:rsidR="00E94E2E" w:rsidRPr="009D714B" w:rsidRDefault="00E94E2E" w:rsidP="006F667E">
      <w:pPr>
        <w:shd w:val="clear" w:color="auto" w:fill="FFFFFF"/>
        <w:jc w:val="both"/>
        <w:rPr>
          <w:rFonts w:eastAsia="Arial Unicode MS"/>
          <w:color w:val="000000" w:themeColor="text1"/>
          <w:sz w:val="22"/>
          <w:szCs w:val="22"/>
          <w:lang w:val="ru-RU"/>
        </w:rPr>
      </w:pPr>
    </w:p>
    <w:p w14:paraId="19514EF9" w14:textId="5A1D220E" w:rsidR="006F667E" w:rsidRPr="00884D1F" w:rsidRDefault="006F667E" w:rsidP="006F667E">
      <w:pPr>
        <w:jc w:val="center"/>
        <w:rPr>
          <w:color w:val="000000" w:themeColor="text1"/>
          <w:sz w:val="22"/>
          <w:szCs w:val="22"/>
          <w:lang w:val="ro-RO" w:eastAsia="ro-MD"/>
        </w:rPr>
      </w:pPr>
      <w:r w:rsidRPr="00884D1F">
        <w:rPr>
          <w:color w:val="000000" w:themeColor="text1"/>
          <w:sz w:val="22"/>
          <w:szCs w:val="22"/>
          <w:lang w:val="ro-RO" w:eastAsia="ro-MD"/>
        </w:rPr>
        <w:t> </w:t>
      </w:r>
      <w:r w:rsidR="00F0201D">
        <w:rPr>
          <w:b/>
          <w:bCs/>
          <w:i/>
          <w:iCs/>
          <w:color w:val="000000" w:themeColor="text1"/>
          <w:sz w:val="22"/>
          <w:szCs w:val="22"/>
          <w:lang w:val="ru-RU" w:eastAsia="ro-MD"/>
        </w:rPr>
        <w:t>Часть</w:t>
      </w:r>
      <w:r w:rsidRPr="00884D1F">
        <w:rPr>
          <w:b/>
          <w:bCs/>
          <w:i/>
          <w:iCs/>
          <w:color w:val="000000" w:themeColor="text1"/>
          <w:sz w:val="22"/>
          <w:szCs w:val="22"/>
          <w:lang w:val="ro-RO" w:eastAsia="ro-MD"/>
        </w:rPr>
        <w:t xml:space="preserve"> 9</w:t>
      </w:r>
      <w:r w:rsidRPr="00884D1F">
        <w:rPr>
          <w:b/>
          <w:bCs/>
          <w:i/>
          <w:iCs/>
          <w:color w:val="000000" w:themeColor="text1"/>
          <w:sz w:val="22"/>
          <w:szCs w:val="22"/>
          <w:vertAlign w:val="superscript"/>
          <w:lang w:val="ro-RO" w:eastAsia="ro-MD"/>
        </w:rPr>
        <w:t>3</w:t>
      </w:r>
    </w:p>
    <w:p w14:paraId="24D43600" w14:textId="77777777" w:rsidR="00A3768F" w:rsidRPr="00674204" w:rsidRDefault="00A3768F" w:rsidP="00674204">
      <w:pPr>
        <w:pStyle w:val="norm"/>
        <w:shd w:val="clear" w:color="auto" w:fill="FFFFFF"/>
        <w:spacing w:before="0" w:beforeAutospacing="0" w:after="0" w:afterAutospacing="0" w:line="312" w:lineRule="atLeast"/>
        <w:jc w:val="center"/>
        <w:rPr>
          <w:rFonts w:eastAsia="Arial Unicode MS"/>
          <w:b/>
          <w:bCs/>
          <w:color w:val="000000" w:themeColor="text1"/>
          <w:sz w:val="22"/>
          <w:szCs w:val="22"/>
          <w:lang w:val="ru-RU" w:eastAsia="ro-MD"/>
          <w14:ligatures w14:val="standardContextual"/>
        </w:rPr>
      </w:pPr>
      <w:r w:rsidRPr="00674204">
        <w:rPr>
          <w:rFonts w:eastAsia="Arial Unicode MS"/>
          <w:b/>
          <w:bCs/>
          <w:color w:val="000000" w:themeColor="text1"/>
          <w:sz w:val="22"/>
          <w:szCs w:val="22"/>
          <w:lang w:val="ru-RU" w:eastAsia="ro-MD"/>
          <w14:ligatures w14:val="standardContextual"/>
        </w:rPr>
        <w:t>Расчет взвешенных по риску сумм подверженностей и ожидаемых сумм убытков для портфелей кредитной защиты, подлежащих рассмотрению в рамках подхода IRB</w:t>
      </w:r>
    </w:p>
    <w:p w14:paraId="0179602A" w14:textId="6CF81568" w:rsidR="006F667E" w:rsidRPr="00267F0F" w:rsidRDefault="006F667E" w:rsidP="006F667E">
      <w:pPr>
        <w:pStyle w:val="norm"/>
        <w:shd w:val="clear" w:color="auto" w:fill="FFFFFF"/>
        <w:spacing w:before="0" w:beforeAutospacing="0" w:after="0" w:afterAutospacing="0" w:line="312" w:lineRule="atLeast"/>
        <w:jc w:val="both"/>
        <w:rPr>
          <w:rFonts w:eastAsia="Arial Unicode MS"/>
          <w:color w:val="000000" w:themeColor="text1"/>
          <w:sz w:val="22"/>
          <w:szCs w:val="22"/>
          <w:lang w:val="ru-RU"/>
        </w:rPr>
      </w:pPr>
      <w:r w:rsidRPr="00267F0F">
        <w:rPr>
          <w:b/>
          <w:bCs/>
          <w:color w:val="000000" w:themeColor="text1"/>
          <w:sz w:val="22"/>
          <w:szCs w:val="22"/>
          <w:lang w:val="ru-RU"/>
        </w:rPr>
        <w:t>107</w:t>
      </w:r>
      <w:r w:rsidRPr="00267F0F">
        <w:rPr>
          <w:b/>
          <w:bCs/>
          <w:color w:val="000000" w:themeColor="text1"/>
          <w:sz w:val="22"/>
          <w:szCs w:val="22"/>
          <w:vertAlign w:val="superscript"/>
          <w:lang w:val="ru-RU"/>
        </w:rPr>
        <w:t>1</w:t>
      </w:r>
      <w:r w:rsidR="00200D4A" w:rsidRPr="00267F0F">
        <w:rPr>
          <w:b/>
          <w:bCs/>
          <w:color w:val="000000" w:themeColor="text1"/>
          <w:sz w:val="22"/>
          <w:szCs w:val="22"/>
          <w:vertAlign w:val="superscript"/>
          <w:lang w:val="ru-RU"/>
        </w:rPr>
        <w:t>1</w:t>
      </w:r>
      <w:r w:rsidRPr="00267F0F">
        <w:rPr>
          <w:b/>
          <w:bCs/>
          <w:color w:val="000000" w:themeColor="text1"/>
          <w:sz w:val="22"/>
          <w:szCs w:val="22"/>
          <w:lang w:val="ru-RU"/>
        </w:rPr>
        <w:t xml:space="preserve">. </w:t>
      </w:r>
      <w:r w:rsidR="00B021A2" w:rsidRPr="00267F0F">
        <w:rPr>
          <w:rFonts w:eastAsia="Arial Unicode MS"/>
          <w:color w:val="000000" w:themeColor="text1"/>
          <w:sz w:val="22"/>
          <w:szCs w:val="22"/>
          <w:lang w:val="ru-RU"/>
        </w:rPr>
        <w:t>Банки, получившие несколько видов обеспеченного кредитного страхования, могут для рисков, рассматриваемых в рамках подхода IRB, применять формулу, изложенную в разделе 92 настоящей главы, последовательно для каждого вида реального обеспечения</w:t>
      </w:r>
      <w:r w:rsidRPr="00267F0F">
        <w:rPr>
          <w:rFonts w:eastAsia="Arial Unicode MS"/>
          <w:color w:val="000000" w:themeColor="text1"/>
          <w:sz w:val="22"/>
          <w:szCs w:val="22"/>
          <w:lang w:val="ru-RU"/>
        </w:rPr>
        <w:t xml:space="preserve">. </w:t>
      </w:r>
    </w:p>
    <w:p w14:paraId="286AE5DA" w14:textId="02F76AD9" w:rsidR="006F667E" w:rsidRPr="00267F0F" w:rsidRDefault="006F667E" w:rsidP="006F667E">
      <w:pPr>
        <w:pStyle w:val="norm"/>
        <w:shd w:val="clear" w:color="auto" w:fill="FFFFFF"/>
        <w:spacing w:before="0" w:beforeAutospacing="0" w:after="0" w:afterAutospacing="0" w:line="312" w:lineRule="atLeast"/>
        <w:jc w:val="both"/>
        <w:rPr>
          <w:rFonts w:eastAsia="Arial Unicode MS"/>
          <w:color w:val="000000" w:themeColor="text1"/>
          <w:sz w:val="22"/>
          <w:szCs w:val="22"/>
          <w:lang w:val="ru-RU"/>
        </w:rPr>
      </w:pPr>
      <w:r w:rsidRPr="00267F0F">
        <w:rPr>
          <w:b/>
          <w:bCs/>
          <w:color w:val="000000" w:themeColor="text1"/>
          <w:sz w:val="22"/>
          <w:szCs w:val="22"/>
          <w:lang w:val="ru-RU"/>
        </w:rPr>
        <w:t>107</w:t>
      </w:r>
      <w:r w:rsidRPr="00267F0F">
        <w:rPr>
          <w:b/>
          <w:bCs/>
          <w:color w:val="000000" w:themeColor="text1"/>
          <w:sz w:val="22"/>
          <w:szCs w:val="22"/>
          <w:vertAlign w:val="superscript"/>
          <w:lang w:val="ru-RU"/>
        </w:rPr>
        <w:t>1</w:t>
      </w:r>
      <w:r w:rsidR="00200D4A" w:rsidRPr="00267F0F">
        <w:rPr>
          <w:b/>
          <w:bCs/>
          <w:color w:val="000000" w:themeColor="text1"/>
          <w:sz w:val="22"/>
          <w:szCs w:val="22"/>
          <w:vertAlign w:val="superscript"/>
          <w:lang w:val="ru-RU"/>
        </w:rPr>
        <w:t>2</w:t>
      </w:r>
      <w:r w:rsidRPr="00267F0F">
        <w:rPr>
          <w:b/>
          <w:bCs/>
          <w:color w:val="000000" w:themeColor="text1"/>
          <w:sz w:val="22"/>
          <w:szCs w:val="22"/>
          <w:lang w:val="ru-RU"/>
        </w:rPr>
        <w:t xml:space="preserve">. </w:t>
      </w:r>
      <w:r w:rsidR="007352C0" w:rsidRPr="00267F0F">
        <w:rPr>
          <w:color w:val="000000" w:themeColor="text1"/>
          <w:sz w:val="22"/>
          <w:szCs w:val="22"/>
          <w:lang w:val="ru-RU"/>
        </w:rPr>
        <w:t>В целях пункта 107</w:t>
      </w:r>
      <w:r w:rsidR="007352C0" w:rsidRPr="00267F0F">
        <w:rPr>
          <w:color w:val="000000" w:themeColor="text1"/>
          <w:sz w:val="22"/>
          <w:szCs w:val="22"/>
          <w:vertAlign w:val="superscript"/>
          <w:lang w:val="ru-RU"/>
        </w:rPr>
        <w:t>11</w:t>
      </w:r>
      <w:r w:rsidR="007352C0" w:rsidRPr="00267F0F">
        <w:rPr>
          <w:color w:val="000000" w:themeColor="text1"/>
          <w:sz w:val="22"/>
          <w:szCs w:val="22"/>
          <w:lang w:val="ru-RU"/>
        </w:rPr>
        <w:t xml:space="preserve"> после каждого этапа признания определенного вида обеспеченного кредитного обеспечения банки должны уменьшать оставшуюся сумму необеспеченного риска (</w:t>
      </w:r>
      <w:r w:rsidR="007352C0" w:rsidRPr="00267F0F">
        <w:rPr>
          <w:rFonts w:eastAsia="Arial Unicode MS"/>
          <w:color w:val="000000" w:themeColor="text1"/>
          <w:sz w:val="22"/>
          <w:szCs w:val="22"/>
          <w:lang w:val="ru-RU"/>
        </w:rPr>
        <w:t>E</w:t>
      </w:r>
      <w:r w:rsidR="007352C0" w:rsidRPr="00267F0F">
        <w:rPr>
          <w:rStyle w:val="subscript"/>
          <w:rFonts w:eastAsia="Arial Unicode MS"/>
          <w:color w:val="000000" w:themeColor="text1"/>
          <w:sz w:val="22"/>
          <w:szCs w:val="22"/>
          <w:vertAlign w:val="subscript"/>
          <w:lang w:val="ru-RU"/>
        </w:rPr>
        <w:t>U</w:t>
      </w:r>
      <w:r w:rsidR="007352C0" w:rsidRPr="00267F0F">
        <w:rPr>
          <w:color w:val="000000" w:themeColor="text1"/>
          <w:sz w:val="22"/>
          <w:szCs w:val="22"/>
          <w:lang w:val="ru-RU"/>
        </w:rPr>
        <w:t>) на скорректированную сумму обеспечения (</w:t>
      </w:r>
      <w:r w:rsidR="007352C0" w:rsidRPr="00267F0F">
        <w:rPr>
          <w:rFonts w:eastAsia="Arial Unicode MS"/>
          <w:color w:val="000000" w:themeColor="text1"/>
          <w:sz w:val="22"/>
          <w:szCs w:val="22"/>
          <w:lang w:val="ru-RU"/>
        </w:rPr>
        <w:t>E</w:t>
      </w:r>
      <w:r w:rsidR="007352C0" w:rsidRPr="00267F0F">
        <w:rPr>
          <w:rStyle w:val="subscript"/>
          <w:rFonts w:eastAsia="Arial Unicode MS"/>
          <w:color w:val="000000" w:themeColor="text1"/>
          <w:sz w:val="22"/>
          <w:szCs w:val="22"/>
          <w:vertAlign w:val="subscript"/>
          <w:lang w:val="ru-RU"/>
        </w:rPr>
        <w:t>S</w:t>
      </w:r>
      <w:r w:rsidR="007352C0" w:rsidRPr="00267F0F">
        <w:rPr>
          <w:color w:val="000000" w:themeColor="text1"/>
          <w:sz w:val="22"/>
          <w:szCs w:val="22"/>
          <w:lang w:val="ru-RU"/>
        </w:rPr>
        <w:t>), признанную на этом этапе. В соответствии с пунктом 107</w:t>
      </w:r>
      <w:r w:rsidR="007352C0" w:rsidRPr="00267F0F">
        <w:rPr>
          <w:color w:val="000000" w:themeColor="text1"/>
          <w:sz w:val="22"/>
          <w:szCs w:val="22"/>
          <w:vertAlign w:val="superscript"/>
          <w:lang w:val="ru-RU"/>
        </w:rPr>
        <w:t>6</w:t>
      </w:r>
      <w:r w:rsidR="007352C0" w:rsidRPr="00267F0F">
        <w:rPr>
          <w:color w:val="000000" w:themeColor="text1"/>
          <w:sz w:val="22"/>
          <w:szCs w:val="22"/>
          <w:lang w:val="ru-RU"/>
        </w:rPr>
        <w:t xml:space="preserve">, общая сумма </w:t>
      </w:r>
      <w:r w:rsidR="00267F0F" w:rsidRPr="00267F0F">
        <w:rPr>
          <w:rFonts w:eastAsia="Arial Unicode MS"/>
          <w:color w:val="000000" w:themeColor="text1"/>
          <w:sz w:val="22"/>
          <w:szCs w:val="22"/>
          <w:lang w:val="ru-RU"/>
        </w:rPr>
        <w:t>E</w:t>
      </w:r>
      <w:r w:rsidR="00267F0F" w:rsidRPr="00267F0F">
        <w:rPr>
          <w:rStyle w:val="subscript"/>
          <w:rFonts w:eastAsia="Arial Unicode MS"/>
          <w:color w:val="000000" w:themeColor="text1"/>
          <w:sz w:val="22"/>
          <w:szCs w:val="22"/>
          <w:vertAlign w:val="subscript"/>
          <w:lang w:val="ru-RU"/>
        </w:rPr>
        <w:t>S</w:t>
      </w:r>
      <w:r w:rsidR="007352C0" w:rsidRPr="00267F0F">
        <w:rPr>
          <w:color w:val="000000" w:themeColor="text1"/>
          <w:sz w:val="22"/>
          <w:szCs w:val="22"/>
          <w:lang w:val="ru-RU"/>
        </w:rPr>
        <w:t xml:space="preserve"> для всех видов обеспеченного кредитного обеспечения ограничена суммой E·(1+HE), что приводит к следующей формуле</w:t>
      </w:r>
      <w:r w:rsidRPr="00267F0F">
        <w:rPr>
          <w:rFonts w:eastAsia="Arial Unicode MS"/>
          <w:color w:val="000000" w:themeColor="text1"/>
          <w:sz w:val="22"/>
          <w:szCs w:val="22"/>
          <w:lang w:val="ru-RU"/>
        </w:rPr>
        <w:t>:</w:t>
      </w:r>
    </w:p>
    <w:p w14:paraId="2800B7B0" w14:textId="77777777" w:rsidR="006F667E" w:rsidRPr="00884D1F" w:rsidRDefault="006F667E" w:rsidP="006F667E">
      <w:pPr>
        <w:pStyle w:val="norm"/>
        <w:shd w:val="clear" w:color="auto" w:fill="FFFFFF"/>
        <w:spacing w:before="0" w:beforeAutospacing="0" w:after="0" w:afterAutospacing="0" w:line="312" w:lineRule="atLeast"/>
        <w:jc w:val="both"/>
        <w:rPr>
          <w:rFonts w:eastAsia="Arial Unicode MS"/>
          <w:color w:val="000000" w:themeColor="text1"/>
          <w:sz w:val="22"/>
          <w:szCs w:val="22"/>
          <w:lang w:val="ro-RO"/>
        </w:rPr>
      </w:pPr>
      <w:r w:rsidRPr="00884D1F">
        <w:rPr>
          <w:b/>
          <w:bCs/>
          <w:noProof/>
          <w:color w:val="000000" w:themeColor="text1"/>
          <w:sz w:val="22"/>
          <w:szCs w:val="22"/>
          <w:lang w:val="ro-RO"/>
        </w:rPr>
        <w:drawing>
          <wp:inline distT="0" distB="0" distL="0" distR="0" wp14:anchorId="6800D7CF" wp14:editId="03640C2D">
            <wp:extent cx="3714750" cy="49530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0" cy="495300"/>
                    </a:xfrm>
                    <a:prstGeom prst="rect">
                      <a:avLst/>
                    </a:prstGeom>
                    <a:noFill/>
                    <a:ln>
                      <a:noFill/>
                    </a:ln>
                  </pic:spPr>
                </pic:pic>
              </a:graphicData>
            </a:graphic>
          </wp:inline>
        </w:drawing>
      </w:r>
    </w:p>
    <w:p w14:paraId="3E939199" w14:textId="561B441A" w:rsidR="006F667E" w:rsidRPr="00884D1F" w:rsidRDefault="00267F0F" w:rsidP="006F667E">
      <w:pPr>
        <w:pStyle w:val="norm"/>
        <w:shd w:val="clear" w:color="auto" w:fill="FFFFFF"/>
        <w:spacing w:before="0" w:beforeAutospacing="0" w:after="0" w:afterAutospacing="0" w:line="312" w:lineRule="atLeast"/>
        <w:jc w:val="both"/>
        <w:rPr>
          <w:rFonts w:eastAsia="Arial Unicode MS"/>
          <w:color w:val="000000" w:themeColor="text1"/>
          <w:sz w:val="22"/>
          <w:szCs w:val="22"/>
          <w:lang w:val="ro-RO"/>
        </w:rPr>
      </w:pPr>
      <w:r>
        <w:rPr>
          <w:rFonts w:eastAsia="Arial Unicode MS"/>
          <w:color w:val="000000" w:themeColor="text1"/>
          <w:sz w:val="22"/>
          <w:szCs w:val="22"/>
          <w:lang w:val="ru-RU"/>
        </w:rPr>
        <w:t>где</w:t>
      </w:r>
      <w:r w:rsidR="006F667E" w:rsidRPr="00884D1F">
        <w:rPr>
          <w:rFonts w:eastAsia="Arial Unicode MS"/>
          <w:color w:val="000000" w:themeColor="text1"/>
          <w:sz w:val="22"/>
          <w:szCs w:val="22"/>
          <w:lang w:val="ro-RO"/>
        </w:rPr>
        <w:t>:</w:t>
      </w:r>
    </w:p>
    <w:tbl>
      <w:tblPr>
        <w:tblW w:w="5000" w:type="pct"/>
        <w:tblCellMar>
          <w:left w:w="0" w:type="dxa"/>
          <w:right w:w="0" w:type="dxa"/>
        </w:tblCellMar>
        <w:tblLook w:val="04A0" w:firstRow="1" w:lastRow="0" w:firstColumn="1" w:lastColumn="0" w:noHBand="0" w:noVBand="1"/>
      </w:tblPr>
      <w:tblGrid>
        <w:gridCol w:w="1018"/>
        <w:gridCol w:w="8671"/>
      </w:tblGrid>
      <w:tr w:rsidR="00267F0F" w:rsidRPr="007544BA" w14:paraId="7BDC9438" w14:textId="77777777" w:rsidTr="008D25C5">
        <w:tc>
          <w:tcPr>
            <w:tcW w:w="0" w:type="auto"/>
            <w:hideMark/>
          </w:tcPr>
          <w:p w14:paraId="3E4574AF" w14:textId="77777777" w:rsidR="006F667E" w:rsidRPr="00190221" w:rsidRDefault="006F667E" w:rsidP="008D25C5">
            <w:pPr>
              <w:pStyle w:val="dlist-term"/>
              <w:spacing w:before="0" w:beforeAutospacing="0" w:after="0" w:afterAutospacing="0" w:line="312" w:lineRule="atLeast"/>
              <w:rPr>
                <w:color w:val="000000" w:themeColor="text1"/>
                <w:sz w:val="22"/>
                <w:szCs w:val="22"/>
                <w:lang w:val="ru-RU"/>
              </w:rPr>
            </w:pPr>
            <w:proofErr w:type="spellStart"/>
            <w:proofErr w:type="gramStart"/>
            <w:r w:rsidRPr="00190221">
              <w:rPr>
                <w:color w:val="000000" w:themeColor="text1"/>
                <w:sz w:val="22"/>
                <w:szCs w:val="22"/>
                <w:lang w:val="ru-RU"/>
              </w:rPr>
              <w:t>LGD</w:t>
            </w:r>
            <w:r w:rsidRPr="00190221">
              <w:rPr>
                <w:rStyle w:val="subscript"/>
                <w:color w:val="000000" w:themeColor="text1"/>
                <w:sz w:val="22"/>
                <w:szCs w:val="22"/>
                <w:vertAlign w:val="subscript"/>
                <w:lang w:val="ru-RU"/>
              </w:rPr>
              <w:t>S,i</w:t>
            </w:r>
            <w:proofErr w:type="spellEnd"/>
            <w:proofErr w:type="gramEnd"/>
          </w:p>
        </w:tc>
        <w:tc>
          <w:tcPr>
            <w:tcW w:w="0" w:type="auto"/>
            <w:hideMark/>
          </w:tcPr>
          <w:p w14:paraId="099A347F" w14:textId="587691F9" w:rsidR="006F667E" w:rsidRPr="00190221" w:rsidRDefault="006F667E" w:rsidP="008D25C5">
            <w:pPr>
              <w:pStyle w:val="norm"/>
              <w:spacing w:before="0" w:beforeAutospacing="0" w:after="0" w:afterAutospacing="0" w:line="312" w:lineRule="atLeast"/>
              <w:jc w:val="both"/>
              <w:rPr>
                <w:color w:val="000000" w:themeColor="text1"/>
                <w:sz w:val="22"/>
                <w:szCs w:val="22"/>
                <w:lang w:val="ru-RU"/>
              </w:rPr>
            </w:pPr>
            <w:r w:rsidRPr="00190221">
              <w:rPr>
                <w:color w:val="000000" w:themeColor="text1"/>
                <w:sz w:val="22"/>
                <w:szCs w:val="22"/>
                <w:lang w:val="ru-RU"/>
              </w:rPr>
              <w:t>= LGD</w:t>
            </w:r>
            <w:r w:rsidR="00267F0F" w:rsidRPr="00190221">
              <w:rPr>
                <w:color w:val="000000" w:themeColor="text1"/>
                <w:sz w:val="22"/>
                <w:szCs w:val="22"/>
                <w:lang w:val="ru-RU"/>
              </w:rPr>
              <w:t>, применимая к</w:t>
            </w:r>
            <w:r w:rsidRPr="00190221">
              <w:rPr>
                <w:color w:val="000000" w:themeColor="text1"/>
                <w:sz w:val="22"/>
                <w:szCs w:val="22"/>
                <w:lang w:val="ru-RU"/>
              </w:rPr>
              <w:t xml:space="preserve"> </w:t>
            </w:r>
            <w:proofErr w:type="spellStart"/>
            <w:r w:rsidRPr="00190221">
              <w:rPr>
                <w:color w:val="000000" w:themeColor="text1"/>
                <w:sz w:val="22"/>
                <w:szCs w:val="22"/>
                <w:lang w:val="ru-RU"/>
              </w:rPr>
              <w:t>FCPi</w:t>
            </w:r>
            <w:proofErr w:type="spellEnd"/>
            <w:r w:rsidRPr="00190221">
              <w:rPr>
                <w:color w:val="000000" w:themeColor="text1"/>
                <w:sz w:val="22"/>
                <w:szCs w:val="22"/>
                <w:lang w:val="ru-RU"/>
              </w:rPr>
              <w:t xml:space="preserve">, </w:t>
            </w:r>
            <w:r w:rsidR="00267F0F" w:rsidRPr="00190221">
              <w:rPr>
                <w:color w:val="000000" w:themeColor="text1"/>
                <w:sz w:val="22"/>
                <w:szCs w:val="22"/>
                <w:lang w:val="ru-RU"/>
              </w:rPr>
              <w:t>как указано в пункте</w:t>
            </w:r>
            <w:r w:rsidRPr="00190221">
              <w:rPr>
                <w:color w:val="000000" w:themeColor="text1"/>
                <w:sz w:val="22"/>
                <w:szCs w:val="22"/>
                <w:lang w:val="ru-RU"/>
              </w:rPr>
              <w:t xml:space="preserve"> 107</w:t>
            </w:r>
            <w:r w:rsidRPr="00190221">
              <w:rPr>
                <w:color w:val="000000" w:themeColor="text1"/>
                <w:sz w:val="22"/>
                <w:szCs w:val="22"/>
                <w:vertAlign w:val="superscript"/>
                <w:lang w:val="ru-RU"/>
              </w:rPr>
              <w:t>7</w:t>
            </w:r>
            <w:r w:rsidRPr="00190221">
              <w:rPr>
                <w:color w:val="000000" w:themeColor="text1"/>
                <w:sz w:val="22"/>
                <w:szCs w:val="22"/>
                <w:lang w:val="ru-RU"/>
              </w:rPr>
              <w:t>;</w:t>
            </w:r>
          </w:p>
        </w:tc>
      </w:tr>
    </w:tbl>
    <w:p w14:paraId="582F2F5D" w14:textId="77777777" w:rsidR="006F667E" w:rsidRPr="00190221" w:rsidRDefault="006F667E" w:rsidP="006F667E">
      <w:pPr>
        <w:shd w:val="clear" w:color="auto" w:fill="FFFFFF"/>
        <w:rPr>
          <w:rFonts w:eastAsia="Arial Unicode MS"/>
          <w:vanish/>
          <w:color w:val="000000" w:themeColor="text1"/>
          <w:sz w:val="22"/>
          <w:szCs w:val="22"/>
          <w:lang w:val="ru-RU"/>
        </w:rPr>
      </w:pPr>
    </w:p>
    <w:tbl>
      <w:tblPr>
        <w:tblW w:w="5000" w:type="pct"/>
        <w:tblCellMar>
          <w:left w:w="0" w:type="dxa"/>
          <w:right w:w="0" w:type="dxa"/>
        </w:tblCellMar>
        <w:tblLook w:val="04A0" w:firstRow="1" w:lastRow="0" w:firstColumn="1" w:lastColumn="0" w:noHBand="0" w:noVBand="1"/>
      </w:tblPr>
      <w:tblGrid>
        <w:gridCol w:w="287"/>
        <w:gridCol w:w="9402"/>
      </w:tblGrid>
      <w:tr w:rsidR="000B2CBE" w:rsidRPr="007544BA" w14:paraId="6AD7BC91" w14:textId="77777777" w:rsidTr="006F667E">
        <w:trPr>
          <w:trHeight w:val="80"/>
        </w:trPr>
        <w:tc>
          <w:tcPr>
            <w:tcW w:w="0" w:type="auto"/>
            <w:hideMark/>
          </w:tcPr>
          <w:p w14:paraId="2538E8EA" w14:textId="77777777" w:rsidR="006F667E" w:rsidRPr="00190221" w:rsidRDefault="006F667E" w:rsidP="008D25C5">
            <w:pPr>
              <w:pStyle w:val="dlist-term"/>
              <w:spacing w:before="0" w:beforeAutospacing="0" w:after="0" w:afterAutospacing="0" w:line="312" w:lineRule="atLeast"/>
              <w:rPr>
                <w:color w:val="000000" w:themeColor="text1"/>
                <w:sz w:val="22"/>
                <w:szCs w:val="22"/>
                <w:lang w:val="ru-RU"/>
              </w:rPr>
            </w:pPr>
            <w:proofErr w:type="spellStart"/>
            <w:proofErr w:type="gramStart"/>
            <w:r w:rsidRPr="00190221">
              <w:rPr>
                <w:color w:val="000000" w:themeColor="text1"/>
                <w:sz w:val="22"/>
                <w:szCs w:val="22"/>
                <w:lang w:val="ru-RU"/>
              </w:rPr>
              <w:t>E</w:t>
            </w:r>
            <w:r w:rsidRPr="00190221">
              <w:rPr>
                <w:rStyle w:val="subscript"/>
                <w:color w:val="000000" w:themeColor="text1"/>
                <w:sz w:val="22"/>
                <w:szCs w:val="22"/>
                <w:vertAlign w:val="subscript"/>
                <w:lang w:val="ru-RU"/>
              </w:rPr>
              <w:t>S,i</w:t>
            </w:r>
            <w:proofErr w:type="spellEnd"/>
            <w:proofErr w:type="gramEnd"/>
          </w:p>
        </w:tc>
        <w:tc>
          <w:tcPr>
            <w:tcW w:w="0" w:type="auto"/>
            <w:hideMark/>
          </w:tcPr>
          <w:p w14:paraId="134C2297" w14:textId="781854B5" w:rsidR="006F667E" w:rsidRPr="00190221" w:rsidRDefault="006F667E" w:rsidP="00190221">
            <w:pPr>
              <w:pStyle w:val="norm"/>
              <w:spacing w:before="0" w:beforeAutospacing="0" w:after="0" w:afterAutospacing="0" w:line="312" w:lineRule="atLeast"/>
              <w:ind w:left="-315" w:firstLine="315"/>
              <w:jc w:val="both"/>
              <w:rPr>
                <w:color w:val="000000" w:themeColor="text1"/>
                <w:sz w:val="22"/>
                <w:szCs w:val="22"/>
                <w:lang w:val="ru-RU"/>
              </w:rPr>
            </w:pPr>
            <w:r w:rsidRPr="00190221">
              <w:rPr>
                <w:color w:val="000000" w:themeColor="text1"/>
                <w:sz w:val="22"/>
                <w:szCs w:val="22"/>
                <w:lang w:val="ru-RU"/>
              </w:rPr>
              <w:t xml:space="preserve">= </w:t>
            </w:r>
            <w:r w:rsidR="00190221" w:rsidRPr="00190221">
              <w:rPr>
                <w:color w:val="000000" w:themeColor="text1"/>
                <w:sz w:val="22"/>
                <w:szCs w:val="22"/>
                <w:lang w:val="ru-RU"/>
              </w:rPr>
              <w:t xml:space="preserve">текущая стоимость </w:t>
            </w:r>
            <w:proofErr w:type="spellStart"/>
            <w:r w:rsidR="00190221" w:rsidRPr="00190221">
              <w:rPr>
                <w:color w:val="000000" w:themeColor="text1"/>
                <w:sz w:val="22"/>
                <w:szCs w:val="22"/>
                <w:lang w:val="ru-RU"/>
              </w:rPr>
              <w:t>FCPi</w:t>
            </w:r>
            <w:proofErr w:type="spellEnd"/>
            <w:r w:rsidR="00190221" w:rsidRPr="00190221">
              <w:rPr>
                <w:color w:val="000000" w:themeColor="text1"/>
                <w:sz w:val="22"/>
                <w:szCs w:val="22"/>
                <w:lang w:val="ru-RU"/>
              </w:rPr>
              <w:t>, полученная после применения соответствующей корректировки волатильности для типа финансируемой кредитной защиты (</w:t>
            </w:r>
            <w:proofErr w:type="spellStart"/>
            <w:r w:rsidR="00190221" w:rsidRPr="00190221">
              <w:rPr>
                <w:color w:val="000000" w:themeColor="text1"/>
                <w:sz w:val="22"/>
                <w:szCs w:val="22"/>
                <w:lang w:val="ru-RU"/>
              </w:rPr>
              <w:t>H</w:t>
            </w:r>
            <w:r w:rsidR="00190221" w:rsidRPr="00190221">
              <w:rPr>
                <w:rStyle w:val="subscript"/>
                <w:color w:val="000000" w:themeColor="text1"/>
                <w:sz w:val="22"/>
                <w:szCs w:val="22"/>
                <w:vertAlign w:val="subscript"/>
                <w:lang w:val="ru-RU"/>
              </w:rPr>
              <w:t>c</w:t>
            </w:r>
            <w:proofErr w:type="spellEnd"/>
            <w:r w:rsidR="00190221" w:rsidRPr="00190221">
              <w:rPr>
                <w:color w:val="000000" w:themeColor="text1"/>
                <w:sz w:val="22"/>
                <w:szCs w:val="22"/>
                <w:lang w:val="ru-RU"/>
              </w:rPr>
              <w:t xml:space="preserve">) согласно пункту </w:t>
            </w:r>
            <w:r w:rsidRPr="00190221">
              <w:rPr>
                <w:color w:val="000000" w:themeColor="text1"/>
                <w:sz w:val="22"/>
                <w:szCs w:val="22"/>
                <w:lang w:val="ru-RU"/>
              </w:rPr>
              <w:t>107</w:t>
            </w:r>
            <w:r w:rsidRPr="00190221">
              <w:rPr>
                <w:color w:val="000000" w:themeColor="text1"/>
                <w:sz w:val="22"/>
                <w:szCs w:val="22"/>
                <w:vertAlign w:val="superscript"/>
                <w:lang w:val="ru-RU"/>
              </w:rPr>
              <w:t>7</w:t>
            </w:r>
            <w:r w:rsidRPr="00190221">
              <w:rPr>
                <w:color w:val="000000" w:themeColor="text1"/>
                <w:sz w:val="22"/>
                <w:szCs w:val="22"/>
                <w:lang w:val="ru-RU"/>
              </w:rPr>
              <w:t>.</w:t>
            </w:r>
            <w:r w:rsidR="00190221" w:rsidRPr="00190221">
              <w:rPr>
                <w:color w:val="000000" w:themeColor="text1"/>
                <w:sz w:val="22"/>
                <w:szCs w:val="22"/>
                <w:lang w:val="ru-RU"/>
              </w:rPr>
              <w:t>»</w:t>
            </w:r>
          </w:p>
        </w:tc>
      </w:tr>
    </w:tbl>
    <w:p w14:paraId="2138E147" w14:textId="4F28A7E8" w:rsidR="007E6E1A" w:rsidRPr="00884D1F" w:rsidRDefault="00DB0C26"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RO"/>
        </w:rPr>
      </w:pPr>
      <w:r>
        <w:rPr>
          <w:color w:val="000000" w:themeColor="text1"/>
          <w:sz w:val="22"/>
          <w:szCs w:val="22"/>
          <w:lang w:val="ru-RU" w:eastAsia="ro-MD"/>
        </w:rPr>
        <w:t>Дополнить</w:t>
      </w:r>
      <w:r w:rsidRPr="00DB0C26">
        <w:rPr>
          <w:color w:val="000000" w:themeColor="text1"/>
          <w:sz w:val="22"/>
          <w:szCs w:val="22"/>
          <w:lang w:val="ru-RU" w:eastAsia="ro-MD"/>
        </w:rPr>
        <w:t xml:space="preserve"> </w:t>
      </w:r>
      <w:r>
        <w:rPr>
          <w:color w:val="000000" w:themeColor="text1"/>
          <w:sz w:val="22"/>
          <w:szCs w:val="22"/>
          <w:lang w:val="ru-RU" w:eastAsia="ro-MD"/>
        </w:rPr>
        <w:t xml:space="preserve">пунктами </w:t>
      </w:r>
      <w:r w:rsidR="000D2636" w:rsidRPr="00884D1F">
        <w:rPr>
          <w:color w:val="000000" w:themeColor="text1"/>
          <w:sz w:val="22"/>
          <w:szCs w:val="22"/>
          <w:lang w:val="ro-RO" w:eastAsia="ro-MD"/>
        </w:rPr>
        <w:t>108</w:t>
      </w:r>
      <w:r w:rsidR="000D2636" w:rsidRPr="00884D1F">
        <w:rPr>
          <w:color w:val="000000" w:themeColor="text1"/>
          <w:sz w:val="22"/>
          <w:szCs w:val="22"/>
          <w:vertAlign w:val="superscript"/>
          <w:lang w:val="ro-RO" w:eastAsia="ro-MD"/>
        </w:rPr>
        <w:t>1</w:t>
      </w:r>
      <w:r w:rsidR="000D2636" w:rsidRPr="00884D1F">
        <w:rPr>
          <w:color w:val="000000" w:themeColor="text1"/>
          <w:sz w:val="22"/>
          <w:szCs w:val="22"/>
          <w:lang w:val="ro-RO" w:eastAsia="ro-MD"/>
        </w:rPr>
        <w:t xml:space="preserve"> </w:t>
      </w:r>
      <w:r>
        <w:rPr>
          <w:color w:val="000000" w:themeColor="text1"/>
          <w:sz w:val="22"/>
          <w:szCs w:val="22"/>
          <w:lang w:val="ru-RU" w:eastAsia="ro-MD"/>
        </w:rPr>
        <w:t>и</w:t>
      </w:r>
      <w:r w:rsidR="000D2636" w:rsidRPr="00884D1F">
        <w:rPr>
          <w:color w:val="000000" w:themeColor="text1"/>
          <w:sz w:val="22"/>
          <w:szCs w:val="22"/>
          <w:lang w:val="ro-RO" w:eastAsia="ro-MD"/>
        </w:rPr>
        <w:t xml:space="preserve"> 108</w:t>
      </w:r>
      <w:r w:rsidR="000D2636" w:rsidRPr="00884D1F">
        <w:rPr>
          <w:color w:val="000000" w:themeColor="text1"/>
          <w:sz w:val="22"/>
          <w:szCs w:val="22"/>
          <w:vertAlign w:val="superscript"/>
          <w:lang w:val="ro-RO" w:eastAsia="ro-MD"/>
        </w:rPr>
        <w:t>2</w:t>
      </w:r>
      <w:r w:rsidR="000D2636" w:rsidRPr="00884D1F">
        <w:rPr>
          <w:color w:val="000000" w:themeColor="text1"/>
          <w:sz w:val="22"/>
          <w:szCs w:val="22"/>
          <w:lang w:val="ro-RO" w:eastAsia="ro-MD"/>
        </w:rPr>
        <w:t xml:space="preserve"> </w:t>
      </w:r>
      <w:r>
        <w:rPr>
          <w:color w:val="000000" w:themeColor="text1"/>
          <w:sz w:val="22"/>
          <w:szCs w:val="22"/>
          <w:lang w:val="ru-RU" w:eastAsia="ro-MD"/>
        </w:rPr>
        <w:t>следующего содержания</w:t>
      </w:r>
      <w:r w:rsidR="000D2636" w:rsidRPr="00884D1F">
        <w:rPr>
          <w:color w:val="000000" w:themeColor="text1"/>
          <w:sz w:val="22"/>
          <w:szCs w:val="22"/>
          <w:lang w:val="ro-RO" w:eastAsia="ro-MD"/>
        </w:rPr>
        <w:t>:</w:t>
      </w:r>
    </w:p>
    <w:p w14:paraId="40D2A645" w14:textId="5CB51C63" w:rsidR="000D2636" w:rsidRPr="00427384" w:rsidRDefault="00C81663" w:rsidP="000D2636">
      <w:pPr>
        <w:jc w:val="both"/>
        <w:rPr>
          <w:color w:val="000000" w:themeColor="text1"/>
          <w:sz w:val="22"/>
          <w:szCs w:val="22"/>
          <w:lang w:val="ru-RU" w:eastAsia="ro-MD"/>
        </w:rPr>
      </w:pPr>
      <w:r w:rsidRPr="00427384">
        <w:rPr>
          <w:b/>
          <w:bCs/>
          <w:color w:val="000000" w:themeColor="text1"/>
          <w:sz w:val="22"/>
          <w:szCs w:val="22"/>
          <w:lang w:val="ru-RU" w:eastAsia="ro-MD"/>
        </w:rPr>
        <w:t>«</w:t>
      </w:r>
      <w:r w:rsidR="000D2636" w:rsidRPr="00427384">
        <w:rPr>
          <w:b/>
          <w:bCs/>
          <w:color w:val="000000" w:themeColor="text1"/>
          <w:sz w:val="22"/>
          <w:szCs w:val="22"/>
          <w:lang w:val="ru-RU" w:eastAsia="ro-MD"/>
        </w:rPr>
        <w:t>108</w:t>
      </w:r>
      <w:r w:rsidR="000D2636" w:rsidRPr="00427384">
        <w:rPr>
          <w:b/>
          <w:bCs/>
          <w:color w:val="000000" w:themeColor="text1"/>
          <w:sz w:val="22"/>
          <w:szCs w:val="22"/>
          <w:vertAlign w:val="superscript"/>
          <w:lang w:val="ru-RU" w:eastAsia="ro-MD"/>
        </w:rPr>
        <w:t>1</w:t>
      </w:r>
      <w:r w:rsidR="000D2636" w:rsidRPr="00427384">
        <w:rPr>
          <w:b/>
          <w:bCs/>
          <w:color w:val="000000" w:themeColor="text1"/>
          <w:sz w:val="22"/>
          <w:szCs w:val="22"/>
          <w:lang w:val="ru-RU" w:eastAsia="ro-MD"/>
        </w:rPr>
        <w:t xml:space="preserve">. </w:t>
      </w:r>
      <w:r w:rsidR="00B32EF3" w:rsidRPr="00427384">
        <w:rPr>
          <w:color w:val="000000" w:themeColor="text1"/>
          <w:sz w:val="22"/>
          <w:szCs w:val="22"/>
          <w:lang w:val="ru-RU" w:eastAsia="ro-MD"/>
        </w:rPr>
        <w:t>Если условия, изложенные в пункте 51</w:t>
      </w:r>
      <w:r w:rsidR="00B32EF3" w:rsidRPr="00427384">
        <w:rPr>
          <w:color w:val="000000" w:themeColor="text1"/>
          <w:sz w:val="22"/>
          <w:szCs w:val="22"/>
          <w:vertAlign w:val="superscript"/>
          <w:lang w:val="ru-RU" w:eastAsia="ro-MD"/>
        </w:rPr>
        <w:t>1</w:t>
      </w:r>
      <w:r w:rsidR="00B32EF3" w:rsidRPr="00427384">
        <w:rPr>
          <w:color w:val="000000" w:themeColor="text1"/>
          <w:sz w:val="22"/>
          <w:szCs w:val="22"/>
          <w:lang w:val="ru-RU" w:eastAsia="ro-MD"/>
        </w:rPr>
        <w:t>, выполнены, банки должны применять следующий подход к той части подверженности, которая обеспечена текущей выкупной стоимостью полисов страхования жизни, заложенных в пользу банка-кредитора</w:t>
      </w:r>
      <w:r w:rsidR="000D2636" w:rsidRPr="00427384">
        <w:rPr>
          <w:color w:val="000000" w:themeColor="text1"/>
          <w:sz w:val="22"/>
          <w:szCs w:val="22"/>
          <w:lang w:val="ru-RU" w:eastAsia="ro-MD"/>
        </w:rPr>
        <w:t>:</w:t>
      </w:r>
    </w:p>
    <w:p w14:paraId="6C418EB7" w14:textId="62438161" w:rsidR="000D2636" w:rsidRPr="00427384" w:rsidRDefault="000D2636" w:rsidP="000D2636">
      <w:pPr>
        <w:ind w:firstLine="567"/>
        <w:jc w:val="both"/>
        <w:rPr>
          <w:color w:val="000000" w:themeColor="text1"/>
          <w:sz w:val="22"/>
          <w:szCs w:val="22"/>
          <w:lang w:val="ru-RU" w:eastAsia="ro-MD"/>
        </w:rPr>
      </w:pPr>
      <w:r w:rsidRPr="00427384">
        <w:rPr>
          <w:color w:val="000000" w:themeColor="text1"/>
          <w:sz w:val="22"/>
          <w:szCs w:val="22"/>
          <w:lang w:val="ru-RU" w:eastAsia="ro-MD"/>
        </w:rPr>
        <w:t xml:space="preserve">1) </w:t>
      </w:r>
      <w:r w:rsidR="00481EFD" w:rsidRPr="00427384">
        <w:rPr>
          <w:color w:val="000000" w:themeColor="text1"/>
          <w:sz w:val="22"/>
          <w:szCs w:val="22"/>
          <w:lang w:val="ru-RU" w:eastAsia="ro-MD"/>
        </w:rPr>
        <w:t>если подверженность применяется к стандартизированному подходу, она должна быть взвешена по риску с использованием весовых коэффициентов риска, указанных в пункте</w:t>
      </w:r>
      <w:r w:rsidRPr="00427384">
        <w:rPr>
          <w:color w:val="000000" w:themeColor="text1"/>
          <w:sz w:val="22"/>
          <w:szCs w:val="22"/>
          <w:lang w:val="ru-RU" w:eastAsia="ro-MD"/>
        </w:rPr>
        <w:t>108</w:t>
      </w:r>
      <w:r w:rsidRPr="00427384">
        <w:rPr>
          <w:color w:val="000000" w:themeColor="text1"/>
          <w:sz w:val="22"/>
          <w:szCs w:val="22"/>
          <w:vertAlign w:val="superscript"/>
          <w:lang w:val="ru-RU" w:eastAsia="ro-MD"/>
        </w:rPr>
        <w:t>2</w:t>
      </w:r>
      <w:r w:rsidRPr="00427384">
        <w:rPr>
          <w:color w:val="000000" w:themeColor="text1"/>
          <w:sz w:val="22"/>
          <w:szCs w:val="22"/>
          <w:lang w:val="ru-RU" w:eastAsia="ro-MD"/>
        </w:rPr>
        <w:t>;</w:t>
      </w:r>
    </w:p>
    <w:p w14:paraId="2A0CE0AB" w14:textId="53926FA0" w:rsidR="000D2636" w:rsidRPr="00427384" w:rsidRDefault="000D2636" w:rsidP="000D2636">
      <w:pPr>
        <w:ind w:firstLine="567"/>
        <w:jc w:val="both"/>
        <w:rPr>
          <w:color w:val="000000" w:themeColor="text1"/>
          <w:sz w:val="22"/>
          <w:szCs w:val="22"/>
          <w:lang w:val="ru-RU" w:eastAsia="ro-MD"/>
        </w:rPr>
      </w:pPr>
      <w:r w:rsidRPr="00427384">
        <w:rPr>
          <w:color w:val="000000" w:themeColor="text1"/>
          <w:sz w:val="22"/>
          <w:szCs w:val="22"/>
          <w:lang w:val="ru-RU" w:eastAsia="ro-MD"/>
        </w:rPr>
        <w:t xml:space="preserve">2) </w:t>
      </w:r>
      <w:r w:rsidR="00427384" w:rsidRPr="00427384">
        <w:rPr>
          <w:color w:val="000000" w:themeColor="text1"/>
          <w:sz w:val="22"/>
          <w:szCs w:val="22"/>
          <w:lang w:val="ru-RU" w:eastAsia="ro-MD"/>
        </w:rPr>
        <w:t>если подверженность применяется к подходу IRB, но не к собственным оценкам банка убытков в случае невыполнения обязательств, ей присваивается убыток в случае невозврата в размере 40%</w:t>
      </w:r>
      <w:r w:rsidR="00427384">
        <w:rPr>
          <w:color w:val="000000" w:themeColor="text1"/>
          <w:sz w:val="22"/>
          <w:szCs w:val="22"/>
          <w:lang w:val="ru-RU" w:eastAsia="ro-MD"/>
        </w:rPr>
        <w:t>.</w:t>
      </w:r>
    </w:p>
    <w:p w14:paraId="4B13C009" w14:textId="26E40DE7" w:rsidR="000D2636" w:rsidRPr="006C601F" w:rsidRDefault="00BC7D60" w:rsidP="000D2636">
      <w:pPr>
        <w:ind w:firstLine="567"/>
        <w:jc w:val="both"/>
        <w:rPr>
          <w:color w:val="000000" w:themeColor="text1"/>
          <w:sz w:val="22"/>
          <w:szCs w:val="22"/>
          <w:lang w:val="ru-RU" w:eastAsia="ro-MD"/>
        </w:rPr>
      </w:pPr>
      <w:r w:rsidRPr="006C601F">
        <w:rPr>
          <w:color w:val="000000" w:themeColor="text1"/>
          <w:sz w:val="22"/>
          <w:szCs w:val="22"/>
          <w:lang w:val="ru-RU" w:eastAsia="ro-MD"/>
        </w:rPr>
        <w:t>В случае валютной дисбаланса банки обязаны уменьшить текущую выкупную стоимость в соответствии с пунктом 112, при этом стоимость кредитной защиты равна текущей выкупной стоимости полиса страхования жизни</w:t>
      </w:r>
      <w:r w:rsidR="000D2636" w:rsidRPr="006C601F">
        <w:rPr>
          <w:color w:val="000000" w:themeColor="text1"/>
          <w:sz w:val="22"/>
          <w:szCs w:val="22"/>
          <w:lang w:val="ru-RU" w:eastAsia="ro-MD"/>
        </w:rPr>
        <w:t>.</w:t>
      </w:r>
    </w:p>
    <w:p w14:paraId="4FBAF0C9" w14:textId="35AA32F6" w:rsidR="000D2636" w:rsidRPr="006C601F" w:rsidRDefault="000D2636" w:rsidP="00D244A6">
      <w:pPr>
        <w:jc w:val="both"/>
        <w:rPr>
          <w:color w:val="000000" w:themeColor="text1"/>
          <w:sz w:val="22"/>
          <w:szCs w:val="22"/>
          <w:lang w:val="ru-RU" w:eastAsia="ro-MD"/>
        </w:rPr>
      </w:pPr>
      <w:r w:rsidRPr="006C601F">
        <w:rPr>
          <w:b/>
          <w:bCs/>
          <w:color w:val="000000" w:themeColor="text1"/>
          <w:sz w:val="22"/>
          <w:szCs w:val="22"/>
          <w:lang w:val="ru-RU" w:eastAsia="ro-MD"/>
        </w:rPr>
        <w:t>108</w:t>
      </w:r>
      <w:r w:rsidRPr="006C601F">
        <w:rPr>
          <w:b/>
          <w:bCs/>
          <w:color w:val="000000" w:themeColor="text1"/>
          <w:sz w:val="22"/>
          <w:szCs w:val="22"/>
          <w:vertAlign w:val="superscript"/>
          <w:lang w:val="ru-RU" w:eastAsia="ro-MD"/>
        </w:rPr>
        <w:t>2</w:t>
      </w:r>
      <w:r w:rsidRPr="006C601F">
        <w:rPr>
          <w:b/>
          <w:bCs/>
          <w:color w:val="000000" w:themeColor="text1"/>
          <w:sz w:val="22"/>
          <w:szCs w:val="22"/>
          <w:lang w:val="ru-RU" w:eastAsia="ro-MD"/>
        </w:rPr>
        <w:t>.</w:t>
      </w:r>
      <w:r w:rsidRPr="006C601F">
        <w:rPr>
          <w:color w:val="000000" w:themeColor="text1"/>
          <w:sz w:val="22"/>
          <w:szCs w:val="22"/>
          <w:lang w:val="ru-RU" w:eastAsia="ro-MD"/>
        </w:rPr>
        <w:t xml:space="preserve"> </w:t>
      </w:r>
      <w:r w:rsidR="006C601F" w:rsidRPr="006C601F">
        <w:rPr>
          <w:color w:val="000000" w:themeColor="text1"/>
          <w:sz w:val="22"/>
          <w:szCs w:val="22"/>
          <w:lang w:val="ru-RU" w:eastAsia="ro-MD"/>
        </w:rPr>
        <w:t>Для целей подпункта 1)</w:t>
      </w:r>
      <w:r w:rsidR="006C601F">
        <w:rPr>
          <w:color w:val="000000" w:themeColor="text1"/>
          <w:sz w:val="22"/>
          <w:szCs w:val="22"/>
          <w:lang w:val="ru-RU" w:eastAsia="ro-MD"/>
        </w:rPr>
        <w:t xml:space="preserve"> </w:t>
      </w:r>
      <w:r w:rsidR="006C601F" w:rsidRPr="006C601F">
        <w:rPr>
          <w:color w:val="000000" w:themeColor="text1"/>
          <w:sz w:val="22"/>
          <w:szCs w:val="22"/>
          <w:lang w:val="ru-RU" w:eastAsia="ro-MD"/>
        </w:rPr>
        <w:t>пункта 108</w:t>
      </w:r>
      <w:r w:rsidR="006C601F" w:rsidRPr="006C601F">
        <w:rPr>
          <w:color w:val="000000" w:themeColor="text1"/>
          <w:sz w:val="22"/>
          <w:szCs w:val="22"/>
          <w:vertAlign w:val="superscript"/>
          <w:lang w:val="ru-RU" w:eastAsia="ro-MD"/>
        </w:rPr>
        <w:t>1</w:t>
      </w:r>
      <w:r w:rsidR="006C601F" w:rsidRPr="006C601F">
        <w:rPr>
          <w:color w:val="000000" w:themeColor="text1"/>
          <w:sz w:val="22"/>
          <w:szCs w:val="22"/>
          <w:lang w:val="ru-RU" w:eastAsia="ro-MD"/>
        </w:rPr>
        <w:t xml:space="preserve"> банки должны присваивать следующие коэффициенты риска, исходя из коэффициента риска, присвоенного старшей необеспеченной подверженности перед предприятием, предоставляющим страхование жизни</w:t>
      </w:r>
      <w:r w:rsidRPr="006C601F">
        <w:rPr>
          <w:color w:val="000000" w:themeColor="text1"/>
          <w:sz w:val="22"/>
          <w:szCs w:val="22"/>
          <w:lang w:val="ru-RU" w:eastAsia="ro-MD"/>
        </w:rPr>
        <w:t>:</w:t>
      </w:r>
    </w:p>
    <w:p w14:paraId="51B42EDA" w14:textId="049A3349" w:rsidR="000D2636" w:rsidRPr="00A44005" w:rsidRDefault="000D2636" w:rsidP="000D2636">
      <w:pPr>
        <w:ind w:firstLine="567"/>
        <w:jc w:val="both"/>
        <w:rPr>
          <w:color w:val="000000" w:themeColor="text1"/>
          <w:sz w:val="22"/>
          <w:szCs w:val="22"/>
          <w:lang w:val="ru-RU" w:eastAsia="ro-MD"/>
        </w:rPr>
      </w:pPr>
      <w:r w:rsidRPr="00A44005">
        <w:rPr>
          <w:color w:val="000000" w:themeColor="text1"/>
          <w:sz w:val="22"/>
          <w:szCs w:val="22"/>
          <w:lang w:val="ru-RU" w:eastAsia="ro-MD"/>
        </w:rPr>
        <w:t xml:space="preserve">1) </w:t>
      </w:r>
      <w:r w:rsidR="00A44005" w:rsidRPr="00A44005">
        <w:rPr>
          <w:color w:val="000000" w:themeColor="text1"/>
          <w:sz w:val="22"/>
          <w:szCs w:val="22"/>
          <w:lang w:val="ru-RU" w:eastAsia="ro-MD"/>
        </w:rPr>
        <w:t>коэффициент риска 20%, если старшей необеспеченной подверженности перед предприятием, предоставляющим страхование жизни, присваивается коэффициент риска 20%</w:t>
      </w:r>
      <w:r w:rsidRPr="00A44005">
        <w:rPr>
          <w:color w:val="000000" w:themeColor="text1"/>
          <w:sz w:val="22"/>
          <w:szCs w:val="22"/>
          <w:lang w:val="ru-RU" w:eastAsia="ro-MD"/>
        </w:rPr>
        <w:t>;</w:t>
      </w:r>
    </w:p>
    <w:p w14:paraId="08764740" w14:textId="2E79C984" w:rsidR="000D2636" w:rsidRPr="00A44005" w:rsidRDefault="000D2636" w:rsidP="000D2636">
      <w:pPr>
        <w:ind w:firstLine="567"/>
        <w:jc w:val="both"/>
        <w:rPr>
          <w:color w:val="000000" w:themeColor="text1"/>
          <w:sz w:val="22"/>
          <w:szCs w:val="22"/>
          <w:lang w:val="ru-RU" w:eastAsia="ro-MD"/>
        </w:rPr>
      </w:pPr>
      <w:r w:rsidRPr="00A44005">
        <w:rPr>
          <w:color w:val="000000" w:themeColor="text1"/>
          <w:sz w:val="22"/>
          <w:szCs w:val="22"/>
          <w:lang w:val="ru-RU" w:eastAsia="ro-MD"/>
        </w:rPr>
        <w:t xml:space="preserve">2) </w:t>
      </w:r>
      <w:r w:rsidR="00A44005" w:rsidRPr="00A44005">
        <w:rPr>
          <w:color w:val="000000" w:themeColor="text1"/>
          <w:sz w:val="22"/>
          <w:szCs w:val="22"/>
          <w:lang w:val="ru-RU" w:eastAsia="ro-MD"/>
        </w:rPr>
        <w:t>коэффициент риска 35%, если старшей необеспеченной подверженности перед предприятием, предоставляющим страхование жизни, присваивается коэффициент риска 50%</w:t>
      </w:r>
      <w:r w:rsidRPr="00A44005">
        <w:rPr>
          <w:color w:val="000000" w:themeColor="text1"/>
          <w:sz w:val="22"/>
          <w:szCs w:val="22"/>
          <w:lang w:val="ru-RU" w:eastAsia="ro-MD"/>
        </w:rPr>
        <w:t>;</w:t>
      </w:r>
    </w:p>
    <w:p w14:paraId="3C9824DD" w14:textId="113EF0AC" w:rsidR="000D2636" w:rsidRPr="00A44005" w:rsidRDefault="000D2636" w:rsidP="000D2636">
      <w:pPr>
        <w:ind w:firstLine="567"/>
        <w:jc w:val="both"/>
        <w:rPr>
          <w:color w:val="000000" w:themeColor="text1"/>
          <w:sz w:val="22"/>
          <w:szCs w:val="22"/>
          <w:lang w:val="ru-RU" w:eastAsia="ro-MD"/>
        </w:rPr>
      </w:pPr>
      <w:r w:rsidRPr="00A44005">
        <w:rPr>
          <w:color w:val="000000" w:themeColor="text1"/>
          <w:sz w:val="22"/>
          <w:szCs w:val="22"/>
          <w:lang w:val="ru-RU" w:eastAsia="ro-MD"/>
        </w:rPr>
        <w:t xml:space="preserve">3) </w:t>
      </w:r>
      <w:r w:rsidR="00A44005" w:rsidRPr="00A44005">
        <w:rPr>
          <w:color w:val="000000" w:themeColor="text1"/>
          <w:sz w:val="22"/>
          <w:szCs w:val="22"/>
          <w:lang w:val="ru-RU" w:eastAsia="ro-MD"/>
        </w:rPr>
        <w:t>коэффициент риска 52,5%, если старшей необеспеченной подверженности перед предприятием, предоставляющим страхование жизни, присваивается коэффициент риска 75%</w:t>
      </w:r>
      <w:r w:rsidRPr="00A44005">
        <w:rPr>
          <w:color w:val="000000" w:themeColor="text1"/>
          <w:sz w:val="22"/>
          <w:szCs w:val="22"/>
          <w:lang w:val="ru-RU" w:eastAsia="ro-MD"/>
        </w:rPr>
        <w:t>;</w:t>
      </w:r>
    </w:p>
    <w:p w14:paraId="33CAF81F" w14:textId="71591E41" w:rsidR="000D2636" w:rsidRPr="00A44005" w:rsidRDefault="007227CD" w:rsidP="000D2636">
      <w:pPr>
        <w:ind w:firstLine="567"/>
        <w:jc w:val="both"/>
        <w:rPr>
          <w:color w:val="000000" w:themeColor="text1"/>
          <w:sz w:val="22"/>
          <w:szCs w:val="22"/>
          <w:lang w:val="ru-RU" w:eastAsia="ro-MD"/>
        </w:rPr>
      </w:pPr>
      <w:r w:rsidRPr="00A44005">
        <w:rPr>
          <w:color w:val="000000" w:themeColor="text1"/>
          <w:sz w:val="22"/>
          <w:szCs w:val="22"/>
          <w:lang w:val="ru-RU" w:eastAsia="ro-MD"/>
        </w:rPr>
        <w:t>4</w:t>
      </w:r>
      <w:r w:rsidR="000D2636" w:rsidRPr="00A44005">
        <w:rPr>
          <w:color w:val="000000" w:themeColor="text1"/>
          <w:sz w:val="22"/>
          <w:szCs w:val="22"/>
          <w:lang w:val="ru-RU" w:eastAsia="ro-MD"/>
        </w:rPr>
        <w:t xml:space="preserve">) </w:t>
      </w:r>
      <w:r w:rsidR="00A44005" w:rsidRPr="00A44005">
        <w:rPr>
          <w:color w:val="000000" w:themeColor="text1"/>
          <w:sz w:val="22"/>
          <w:szCs w:val="22"/>
          <w:lang w:val="ru-RU" w:eastAsia="ro-MD"/>
        </w:rPr>
        <w:t>коэффициент риска 70%, если старшей необеспеченной подверженности перед предприятием, предоставляющим страхование жизни, присваивается коэффициент риска 100%</w:t>
      </w:r>
      <w:r w:rsidR="000D2636" w:rsidRPr="00A44005">
        <w:rPr>
          <w:color w:val="000000" w:themeColor="text1"/>
          <w:sz w:val="22"/>
          <w:szCs w:val="22"/>
          <w:lang w:val="ru-RU" w:eastAsia="ro-MD"/>
        </w:rPr>
        <w:t>;</w:t>
      </w:r>
    </w:p>
    <w:p w14:paraId="5EDC7578" w14:textId="4850ED8D" w:rsidR="000D2636" w:rsidRPr="00A44005" w:rsidRDefault="007227CD" w:rsidP="007227CD">
      <w:pPr>
        <w:tabs>
          <w:tab w:val="left" w:pos="567"/>
        </w:tabs>
        <w:ind w:firstLine="567"/>
        <w:jc w:val="both"/>
        <w:rPr>
          <w:color w:val="000000" w:themeColor="text1"/>
          <w:sz w:val="22"/>
          <w:szCs w:val="22"/>
          <w:lang w:val="ru-RU"/>
        </w:rPr>
      </w:pPr>
      <w:r w:rsidRPr="00A44005">
        <w:rPr>
          <w:color w:val="000000" w:themeColor="text1"/>
          <w:sz w:val="22"/>
          <w:szCs w:val="22"/>
          <w:lang w:val="ru-RU" w:eastAsia="ro-MD"/>
        </w:rPr>
        <w:t>5</w:t>
      </w:r>
      <w:r w:rsidR="000D2636" w:rsidRPr="00A44005">
        <w:rPr>
          <w:color w:val="000000" w:themeColor="text1"/>
          <w:sz w:val="22"/>
          <w:szCs w:val="22"/>
          <w:lang w:val="ru-RU" w:eastAsia="ro-MD"/>
        </w:rPr>
        <w:t xml:space="preserve">) </w:t>
      </w:r>
      <w:r w:rsidR="00A44005" w:rsidRPr="00A44005">
        <w:rPr>
          <w:color w:val="000000" w:themeColor="text1"/>
          <w:sz w:val="22"/>
          <w:szCs w:val="22"/>
          <w:lang w:val="ru-RU" w:eastAsia="ro-MD"/>
        </w:rPr>
        <w:t>коэффициент риска 150%, если старшей необеспеченной подверженности перед предприятием, предоставляющим страхование жизни, присваивается коэффициент риска 150%</w:t>
      </w:r>
      <w:r w:rsidR="000D2636" w:rsidRPr="00A44005">
        <w:rPr>
          <w:color w:val="000000" w:themeColor="text1"/>
          <w:sz w:val="22"/>
          <w:szCs w:val="22"/>
          <w:lang w:val="ru-RU" w:eastAsia="ro-MD"/>
        </w:rPr>
        <w:t>.</w:t>
      </w:r>
      <w:r w:rsidRPr="00A44005">
        <w:rPr>
          <w:color w:val="000000" w:themeColor="text1"/>
          <w:sz w:val="22"/>
          <w:szCs w:val="22"/>
          <w:lang w:val="ru-RU" w:eastAsia="ro-MD"/>
        </w:rPr>
        <w:t>”.</w:t>
      </w:r>
    </w:p>
    <w:p w14:paraId="4FD520F2" w14:textId="675A7C1E" w:rsidR="00A70C68" w:rsidRPr="00884D1F" w:rsidRDefault="00A44005"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RO"/>
        </w:rPr>
      </w:pPr>
      <w:r>
        <w:rPr>
          <w:color w:val="000000" w:themeColor="text1"/>
          <w:sz w:val="22"/>
          <w:szCs w:val="22"/>
          <w:lang w:val="ru-RU" w:eastAsia="ro-MD"/>
        </w:rPr>
        <w:lastRenderedPageBreak/>
        <w:t>Глава</w:t>
      </w:r>
      <w:r w:rsidR="000B2CBE" w:rsidRPr="00884D1F">
        <w:rPr>
          <w:color w:val="000000" w:themeColor="text1"/>
          <w:sz w:val="22"/>
          <w:szCs w:val="22"/>
          <w:lang w:val="ro-RO" w:eastAsia="ro-MD"/>
        </w:rPr>
        <w:t xml:space="preserve"> IX</w:t>
      </w:r>
      <w:r w:rsidR="00A70C68" w:rsidRPr="00884D1F">
        <w:rPr>
          <w:color w:val="000000" w:themeColor="text1"/>
          <w:sz w:val="22"/>
          <w:szCs w:val="22"/>
          <w:lang w:val="ro-RO" w:eastAsia="ro-MD"/>
        </w:rPr>
        <w:t>:</w:t>
      </w:r>
    </w:p>
    <w:p w14:paraId="1BDD497D" w14:textId="2A53B814" w:rsidR="00A70C68" w:rsidRPr="00A44005" w:rsidRDefault="00A44005" w:rsidP="00A70C68">
      <w:pPr>
        <w:pStyle w:val="ListParagraph"/>
        <w:numPr>
          <w:ilvl w:val="2"/>
          <w:numId w:val="27"/>
        </w:numPr>
        <w:ind w:left="0" w:firstLine="567"/>
        <w:rPr>
          <w:color w:val="000000" w:themeColor="text1"/>
          <w:sz w:val="22"/>
          <w:szCs w:val="22"/>
          <w:lang w:val="ru-MD" w:eastAsia="ro-MD"/>
        </w:rPr>
      </w:pPr>
      <w:r w:rsidRPr="00A44005">
        <w:rPr>
          <w:color w:val="000000" w:themeColor="text1"/>
          <w:sz w:val="22"/>
          <w:szCs w:val="22"/>
          <w:lang w:val="ru-MD" w:eastAsia="ro-MD"/>
        </w:rPr>
        <w:t xml:space="preserve">дополнить частью </w:t>
      </w:r>
      <w:r w:rsidR="000B2CBE" w:rsidRPr="00A44005">
        <w:rPr>
          <w:color w:val="000000" w:themeColor="text1"/>
          <w:sz w:val="22"/>
          <w:szCs w:val="22"/>
          <w:lang w:val="ru-MD" w:eastAsia="ro-MD"/>
        </w:rPr>
        <w:t>1</w:t>
      </w:r>
      <w:r w:rsidR="000B2CBE" w:rsidRPr="00A44005">
        <w:rPr>
          <w:color w:val="000000" w:themeColor="text1"/>
          <w:sz w:val="22"/>
          <w:szCs w:val="22"/>
          <w:vertAlign w:val="superscript"/>
          <w:lang w:val="ru-MD" w:eastAsia="ro-MD"/>
        </w:rPr>
        <w:t>1</w:t>
      </w:r>
      <w:r w:rsidR="000B2CBE" w:rsidRPr="00A44005">
        <w:rPr>
          <w:color w:val="000000" w:themeColor="text1"/>
          <w:sz w:val="22"/>
          <w:szCs w:val="22"/>
          <w:lang w:val="ru-MD" w:eastAsia="ro-MD"/>
        </w:rPr>
        <w:t xml:space="preserve"> </w:t>
      </w:r>
      <w:r w:rsidRPr="00A44005">
        <w:rPr>
          <w:color w:val="000000" w:themeColor="text1"/>
          <w:sz w:val="22"/>
          <w:szCs w:val="22"/>
          <w:lang w:val="ru-MD" w:eastAsia="ro-MD"/>
        </w:rPr>
        <w:t>следующего содержания</w:t>
      </w:r>
      <w:r w:rsidR="000B2CBE" w:rsidRPr="00A44005">
        <w:rPr>
          <w:color w:val="000000" w:themeColor="text1"/>
          <w:sz w:val="22"/>
          <w:szCs w:val="22"/>
          <w:lang w:val="ru-MD" w:eastAsia="ro-MD"/>
        </w:rPr>
        <w:t>:</w:t>
      </w:r>
      <w:r w:rsidR="00A70C68" w:rsidRPr="00A44005">
        <w:rPr>
          <w:color w:val="000000" w:themeColor="text1"/>
          <w:sz w:val="22"/>
          <w:szCs w:val="22"/>
          <w:lang w:val="ru-MD"/>
        </w:rPr>
        <w:t xml:space="preserve"> </w:t>
      </w:r>
    </w:p>
    <w:p w14:paraId="3E5AFADC" w14:textId="652073F7" w:rsidR="00A70C68" w:rsidRPr="00884D1F" w:rsidRDefault="00A44005" w:rsidP="00A70C68">
      <w:pPr>
        <w:jc w:val="center"/>
        <w:rPr>
          <w:color w:val="000000" w:themeColor="text1"/>
          <w:sz w:val="22"/>
          <w:szCs w:val="22"/>
          <w:lang w:val="ro-RO" w:eastAsia="ro-MD"/>
        </w:rPr>
      </w:pPr>
      <w:r>
        <w:rPr>
          <w:b/>
          <w:bCs/>
          <w:i/>
          <w:iCs/>
          <w:color w:val="000000" w:themeColor="text1"/>
          <w:sz w:val="22"/>
          <w:szCs w:val="22"/>
          <w:lang w:val="ru-RU" w:eastAsia="ro-MD"/>
        </w:rPr>
        <w:t>«Часть</w:t>
      </w:r>
      <w:r w:rsidR="00A70C68" w:rsidRPr="00884D1F">
        <w:rPr>
          <w:b/>
          <w:bCs/>
          <w:i/>
          <w:iCs/>
          <w:color w:val="000000" w:themeColor="text1"/>
          <w:sz w:val="22"/>
          <w:szCs w:val="22"/>
          <w:lang w:val="ro-RO" w:eastAsia="ro-MD"/>
        </w:rPr>
        <w:t xml:space="preserve"> 1</w:t>
      </w:r>
      <w:r w:rsidR="00A70C68" w:rsidRPr="00884D1F">
        <w:rPr>
          <w:b/>
          <w:bCs/>
          <w:i/>
          <w:iCs/>
          <w:color w:val="000000" w:themeColor="text1"/>
          <w:sz w:val="22"/>
          <w:szCs w:val="22"/>
          <w:vertAlign w:val="superscript"/>
          <w:lang w:val="ro-RO" w:eastAsia="ro-MD"/>
        </w:rPr>
        <w:t>1</w:t>
      </w:r>
    </w:p>
    <w:p w14:paraId="73DEEA8A" w14:textId="47B7D1A3" w:rsidR="006303C5" w:rsidRPr="006303C5" w:rsidRDefault="006303C5" w:rsidP="006303C5">
      <w:pPr>
        <w:jc w:val="center"/>
        <w:rPr>
          <w:b/>
          <w:bCs/>
          <w:i/>
          <w:iCs/>
          <w:color w:val="000000" w:themeColor="text1"/>
          <w:sz w:val="22"/>
          <w:szCs w:val="22"/>
          <w:lang w:val="ru-RU" w:eastAsia="ro-MD"/>
        </w:rPr>
      </w:pPr>
      <w:r w:rsidRPr="006303C5">
        <w:rPr>
          <w:b/>
          <w:bCs/>
          <w:i/>
          <w:iCs/>
          <w:color w:val="000000" w:themeColor="text1"/>
          <w:sz w:val="22"/>
          <w:szCs w:val="22"/>
          <w:lang w:val="ru-RU" w:eastAsia="ro-MD"/>
        </w:rPr>
        <w:t>Расчет взвешенных по риску сумм подверженност</w:t>
      </w:r>
      <w:r>
        <w:rPr>
          <w:b/>
          <w:bCs/>
          <w:i/>
          <w:iCs/>
          <w:color w:val="000000" w:themeColor="text1"/>
          <w:sz w:val="22"/>
          <w:szCs w:val="22"/>
          <w:lang w:val="ru-RU" w:eastAsia="ro-MD"/>
        </w:rPr>
        <w:t>е</w:t>
      </w:r>
      <w:r w:rsidRPr="006303C5">
        <w:rPr>
          <w:b/>
          <w:bCs/>
          <w:i/>
          <w:iCs/>
          <w:color w:val="000000" w:themeColor="text1"/>
          <w:sz w:val="22"/>
          <w:szCs w:val="22"/>
          <w:lang w:val="ru-RU" w:eastAsia="ro-MD"/>
        </w:rPr>
        <w:t>й и ожидаемых сумм</w:t>
      </w:r>
    </w:p>
    <w:p w14:paraId="00D6CEE7" w14:textId="4BCC3375" w:rsidR="006303C5" w:rsidRPr="006303C5" w:rsidRDefault="006303C5" w:rsidP="006303C5">
      <w:pPr>
        <w:jc w:val="center"/>
        <w:rPr>
          <w:b/>
          <w:bCs/>
          <w:i/>
          <w:iCs/>
          <w:color w:val="000000" w:themeColor="text1"/>
          <w:sz w:val="22"/>
          <w:szCs w:val="22"/>
          <w:lang w:val="ru-RU" w:eastAsia="ro-MD"/>
        </w:rPr>
      </w:pPr>
      <w:r w:rsidRPr="006303C5">
        <w:rPr>
          <w:b/>
          <w:bCs/>
          <w:i/>
          <w:iCs/>
          <w:color w:val="000000" w:themeColor="text1"/>
          <w:sz w:val="22"/>
          <w:szCs w:val="22"/>
          <w:lang w:val="ru-RU" w:eastAsia="ro-MD"/>
        </w:rPr>
        <w:t xml:space="preserve">убытков в случае частичной защиты и </w:t>
      </w:r>
      <w:proofErr w:type="spellStart"/>
      <w:r w:rsidRPr="006303C5">
        <w:rPr>
          <w:b/>
          <w:bCs/>
          <w:i/>
          <w:iCs/>
          <w:color w:val="000000" w:themeColor="text1"/>
          <w:sz w:val="22"/>
          <w:szCs w:val="22"/>
          <w:lang w:val="ru-RU" w:eastAsia="ro-MD"/>
        </w:rPr>
        <w:t>транширования</w:t>
      </w:r>
      <w:proofErr w:type="spellEnd"/>
    </w:p>
    <w:p w14:paraId="0999B3E4" w14:textId="5C0A30B8" w:rsidR="00A70C68" w:rsidRPr="008D035C" w:rsidRDefault="00A70C68" w:rsidP="00A70C68">
      <w:pPr>
        <w:jc w:val="both"/>
        <w:rPr>
          <w:color w:val="000000" w:themeColor="text1"/>
          <w:sz w:val="22"/>
          <w:szCs w:val="22"/>
          <w:lang w:val="ru-RU" w:eastAsia="ro-MD"/>
        </w:rPr>
      </w:pPr>
      <w:r w:rsidRPr="008D035C">
        <w:rPr>
          <w:b/>
          <w:bCs/>
          <w:color w:val="000000" w:themeColor="text1"/>
          <w:sz w:val="22"/>
          <w:szCs w:val="22"/>
          <w:lang w:val="ru-RU" w:eastAsia="ro-MD"/>
        </w:rPr>
        <w:t>113</w:t>
      </w:r>
      <w:r w:rsidRPr="008D035C">
        <w:rPr>
          <w:b/>
          <w:bCs/>
          <w:color w:val="000000" w:themeColor="text1"/>
          <w:sz w:val="22"/>
          <w:szCs w:val="22"/>
          <w:vertAlign w:val="superscript"/>
          <w:lang w:val="ru-RU" w:eastAsia="ro-MD"/>
        </w:rPr>
        <w:t>1</w:t>
      </w:r>
      <w:r w:rsidRPr="008D035C">
        <w:rPr>
          <w:b/>
          <w:bCs/>
          <w:color w:val="000000" w:themeColor="text1"/>
          <w:sz w:val="22"/>
          <w:szCs w:val="22"/>
          <w:lang w:val="ru-RU" w:eastAsia="ro-MD"/>
        </w:rPr>
        <w:t>.</w:t>
      </w:r>
      <w:r w:rsidRPr="008D035C">
        <w:rPr>
          <w:color w:val="000000" w:themeColor="text1"/>
          <w:sz w:val="22"/>
          <w:szCs w:val="22"/>
          <w:lang w:val="ru-RU" w:eastAsia="ro-MD"/>
        </w:rPr>
        <w:t xml:space="preserve"> </w:t>
      </w:r>
      <w:r w:rsidR="001A3CA7" w:rsidRPr="008D035C">
        <w:rPr>
          <w:color w:val="000000" w:themeColor="text1"/>
          <w:sz w:val="22"/>
          <w:szCs w:val="22"/>
          <w:lang w:val="ru-RU" w:eastAsia="ro-MD"/>
        </w:rPr>
        <w:t>Если банк передает часть риска по кредиту одним или несколькими траншами, применяются правила, изложенные в Регламенте № 221/2025 о пруденциальном подходе к секьюритизации</w:t>
      </w:r>
      <w:r w:rsidRPr="008D035C">
        <w:rPr>
          <w:color w:val="000000" w:themeColor="text1"/>
          <w:sz w:val="22"/>
          <w:szCs w:val="22"/>
          <w:lang w:val="ru-RU" w:eastAsia="ro-MD"/>
        </w:rPr>
        <w:t xml:space="preserve">. </w:t>
      </w:r>
    </w:p>
    <w:p w14:paraId="6896F57C" w14:textId="6D854AAA" w:rsidR="00A70C68" w:rsidRPr="008D035C" w:rsidRDefault="00A70C68" w:rsidP="00A70C68">
      <w:pPr>
        <w:jc w:val="both"/>
        <w:rPr>
          <w:color w:val="000000" w:themeColor="text1"/>
          <w:sz w:val="22"/>
          <w:szCs w:val="22"/>
          <w:lang w:val="ru-RU" w:eastAsia="ro-MD"/>
        </w:rPr>
      </w:pPr>
      <w:r w:rsidRPr="008D035C">
        <w:rPr>
          <w:b/>
          <w:bCs/>
          <w:color w:val="000000" w:themeColor="text1"/>
          <w:sz w:val="22"/>
          <w:szCs w:val="22"/>
          <w:lang w:val="ru-RU" w:eastAsia="ro-MD"/>
        </w:rPr>
        <w:t>113</w:t>
      </w:r>
      <w:r w:rsidRPr="008D035C">
        <w:rPr>
          <w:b/>
          <w:bCs/>
          <w:color w:val="000000" w:themeColor="text1"/>
          <w:sz w:val="22"/>
          <w:szCs w:val="22"/>
          <w:vertAlign w:val="superscript"/>
          <w:lang w:val="ru-RU" w:eastAsia="ro-MD"/>
        </w:rPr>
        <w:t>2</w:t>
      </w:r>
      <w:r w:rsidRPr="008D035C">
        <w:rPr>
          <w:b/>
          <w:bCs/>
          <w:color w:val="000000" w:themeColor="text1"/>
          <w:sz w:val="22"/>
          <w:szCs w:val="22"/>
          <w:lang w:val="ru-RU" w:eastAsia="ro-MD"/>
        </w:rPr>
        <w:t>.</w:t>
      </w:r>
      <w:r w:rsidRPr="008D035C">
        <w:rPr>
          <w:color w:val="000000" w:themeColor="text1"/>
          <w:sz w:val="22"/>
          <w:szCs w:val="22"/>
          <w:lang w:val="ru-RU" w:eastAsia="ro-MD"/>
        </w:rPr>
        <w:t xml:space="preserve"> </w:t>
      </w:r>
      <w:r w:rsidR="008D035C" w:rsidRPr="008D035C">
        <w:rPr>
          <w:color w:val="000000" w:themeColor="text1"/>
          <w:sz w:val="22"/>
          <w:szCs w:val="22"/>
          <w:lang w:val="ru-RU" w:eastAsia="ro-MD"/>
        </w:rPr>
        <w:t>Банки могут считать, что пороговые значения существенности для осуществления платежей, ниже которых платежи не производятся в случае убытков, эквивалентны удерживаемым позициям, которые в первую очередь несут убытки и приводят к сегментированному передаче риска траншами</w:t>
      </w:r>
      <w:r w:rsidRPr="008D035C">
        <w:rPr>
          <w:color w:val="000000" w:themeColor="text1"/>
          <w:sz w:val="22"/>
          <w:szCs w:val="22"/>
          <w:lang w:val="ru-RU" w:eastAsia="ro-MD"/>
        </w:rPr>
        <w:t>.</w:t>
      </w:r>
      <w:r w:rsidR="008D035C" w:rsidRPr="008D035C">
        <w:rPr>
          <w:color w:val="000000" w:themeColor="text1"/>
          <w:sz w:val="22"/>
          <w:szCs w:val="22"/>
          <w:lang w:val="ru-RU" w:eastAsia="ro-MD"/>
        </w:rPr>
        <w:t>»</w:t>
      </w:r>
      <w:r w:rsidRPr="008D035C">
        <w:rPr>
          <w:color w:val="000000" w:themeColor="text1"/>
          <w:sz w:val="22"/>
          <w:szCs w:val="22"/>
          <w:lang w:val="ru-RU" w:eastAsia="ro-MD"/>
        </w:rPr>
        <w:t>.</w:t>
      </w:r>
    </w:p>
    <w:p w14:paraId="2B5B74B7" w14:textId="3AF52AB8" w:rsidR="000D2636" w:rsidRPr="00884D1F" w:rsidRDefault="008D035C" w:rsidP="00A70C68">
      <w:pPr>
        <w:pStyle w:val="ListParagraph"/>
        <w:numPr>
          <w:ilvl w:val="2"/>
          <w:numId w:val="27"/>
        </w:numPr>
        <w:tabs>
          <w:tab w:val="left" w:pos="567"/>
        </w:tabs>
        <w:spacing w:before="80"/>
        <w:contextualSpacing w:val="0"/>
        <w:jc w:val="both"/>
        <w:rPr>
          <w:color w:val="000000" w:themeColor="text1"/>
          <w:sz w:val="22"/>
          <w:szCs w:val="22"/>
          <w:lang w:val="ro-RO"/>
        </w:rPr>
      </w:pPr>
      <w:r>
        <w:rPr>
          <w:color w:val="000000" w:themeColor="text1"/>
          <w:sz w:val="22"/>
          <w:szCs w:val="22"/>
          <w:lang w:val="ru-RU"/>
        </w:rPr>
        <w:t>название</w:t>
      </w:r>
      <w:r w:rsidRPr="008D035C">
        <w:rPr>
          <w:color w:val="000000" w:themeColor="text1"/>
          <w:sz w:val="22"/>
          <w:szCs w:val="22"/>
          <w:lang w:val="ru-RU"/>
        </w:rPr>
        <w:t xml:space="preserve"> </w:t>
      </w:r>
      <w:r>
        <w:rPr>
          <w:color w:val="000000" w:themeColor="text1"/>
          <w:sz w:val="22"/>
          <w:szCs w:val="22"/>
          <w:lang w:val="ru-RU"/>
        </w:rPr>
        <w:t>части</w:t>
      </w:r>
      <w:r w:rsidR="00A70C68" w:rsidRPr="00884D1F">
        <w:rPr>
          <w:color w:val="000000" w:themeColor="text1"/>
          <w:sz w:val="22"/>
          <w:szCs w:val="22"/>
          <w:lang w:val="ro-RO"/>
        </w:rPr>
        <w:t xml:space="preserve"> 2</w:t>
      </w:r>
      <w:r>
        <w:rPr>
          <w:color w:val="000000" w:themeColor="text1"/>
          <w:sz w:val="22"/>
          <w:szCs w:val="22"/>
          <w:lang w:val="ru-RU"/>
        </w:rPr>
        <w:t xml:space="preserve"> изложить в следующей редакции</w:t>
      </w:r>
      <w:r w:rsidR="00A70C68" w:rsidRPr="00884D1F">
        <w:rPr>
          <w:color w:val="000000" w:themeColor="text1"/>
          <w:sz w:val="22"/>
          <w:szCs w:val="22"/>
          <w:lang w:val="ro-RO"/>
        </w:rPr>
        <w:t>:</w:t>
      </w:r>
    </w:p>
    <w:p w14:paraId="444B348D" w14:textId="529F0E51" w:rsidR="00A70C68" w:rsidRPr="00884D1F" w:rsidRDefault="008D035C" w:rsidP="00A70C68">
      <w:pPr>
        <w:jc w:val="center"/>
        <w:rPr>
          <w:color w:val="000000" w:themeColor="text1"/>
          <w:sz w:val="22"/>
          <w:szCs w:val="22"/>
          <w:lang w:val="ro-RO" w:eastAsia="ro-MD"/>
        </w:rPr>
      </w:pPr>
      <w:r>
        <w:rPr>
          <w:color w:val="000000" w:themeColor="text1"/>
          <w:sz w:val="22"/>
          <w:szCs w:val="22"/>
          <w:lang w:val="ru-RU"/>
        </w:rPr>
        <w:t>«</w:t>
      </w:r>
      <w:r>
        <w:rPr>
          <w:b/>
          <w:bCs/>
          <w:i/>
          <w:iCs/>
          <w:color w:val="000000" w:themeColor="text1"/>
          <w:sz w:val="22"/>
          <w:szCs w:val="22"/>
          <w:lang w:val="ru-RU" w:eastAsia="ro-MD"/>
        </w:rPr>
        <w:t xml:space="preserve">Часть </w:t>
      </w:r>
      <w:r w:rsidR="00A70C68" w:rsidRPr="00884D1F">
        <w:rPr>
          <w:b/>
          <w:bCs/>
          <w:i/>
          <w:iCs/>
          <w:color w:val="000000" w:themeColor="text1"/>
          <w:sz w:val="22"/>
          <w:szCs w:val="22"/>
          <w:lang w:val="ro-RO" w:eastAsia="ro-MD"/>
        </w:rPr>
        <w:t>2</w:t>
      </w:r>
    </w:p>
    <w:p w14:paraId="64842CCB" w14:textId="32B4F1F6" w:rsidR="00A70C68" w:rsidRPr="00A63DE1" w:rsidRDefault="00A63DE1" w:rsidP="00A70C68">
      <w:pPr>
        <w:tabs>
          <w:tab w:val="left" w:pos="567"/>
        </w:tabs>
        <w:jc w:val="both"/>
        <w:rPr>
          <w:i/>
          <w:iCs/>
          <w:color w:val="000000" w:themeColor="text1"/>
          <w:sz w:val="22"/>
          <w:szCs w:val="22"/>
          <w:lang w:val="ru-RU"/>
        </w:rPr>
      </w:pPr>
      <w:r w:rsidRPr="00A63DE1">
        <w:rPr>
          <w:b/>
          <w:bCs/>
          <w:i/>
          <w:iCs/>
          <w:color w:val="000000" w:themeColor="text1"/>
          <w:sz w:val="22"/>
          <w:szCs w:val="22"/>
          <w:lang w:val="ru-RU"/>
        </w:rPr>
        <w:t xml:space="preserve">Расчет взвешенных по риску сумм </w:t>
      </w:r>
      <w:r>
        <w:rPr>
          <w:b/>
          <w:bCs/>
          <w:i/>
          <w:iCs/>
          <w:color w:val="000000" w:themeColor="text1"/>
          <w:sz w:val="22"/>
          <w:szCs w:val="22"/>
          <w:lang w:val="ru-RU"/>
        </w:rPr>
        <w:t>п</w:t>
      </w:r>
      <w:r w:rsidRPr="00A63DE1">
        <w:rPr>
          <w:b/>
          <w:bCs/>
          <w:i/>
          <w:iCs/>
          <w:color w:val="000000" w:themeColor="text1"/>
          <w:sz w:val="22"/>
          <w:szCs w:val="22"/>
          <w:lang w:val="ru-RU"/>
        </w:rPr>
        <w:t>одверженностей по методу замещения, когда гарантированная подверженность рассматривается в соответствии со стандартизированным подходом»</w:t>
      </w:r>
      <w:r w:rsidR="00A70C68" w:rsidRPr="00A63DE1">
        <w:rPr>
          <w:i/>
          <w:iCs/>
          <w:color w:val="000000" w:themeColor="text1"/>
          <w:sz w:val="22"/>
          <w:szCs w:val="22"/>
          <w:lang w:val="ru-RU"/>
        </w:rPr>
        <w:t>;</w:t>
      </w:r>
    </w:p>
    <w:p w14:paraId="30F55281" w14:textId="439353CA" w:rsidR="00A70C68" w:rsidRPr="008E1F38" w:rsidRDefault="004670C0" w:rsidP="00FB709D">
      <w:pPr>
        <w:pStyle w:val="ListParagraph"/>
        <w:numPr>
          <w:ilvl w:val="2"/>
          <w:numId w:val="27"/>
        </w:numPr>
        <w:tabs>
          <w:tab w:val="left" w:pos="567"/>
        </w:tabs>
        <w:spacing w:before="80"/>
        <w:ind w:left="0" w:firstLine="567"/>
        <w:contextualSpacing w:val="0"/>
        <w:jc w:val="both"/>
        <w:rPr>
          <w:color w:val="000000" w:themeColor="text1"/>
          <w:sz w:val="22"/>
          <w:szCs w:val="22"/>
          <w:lang w:val="ro-RO"/>
        </w:rPr>
      </w:pPr>
      <w:r w:rsidRPr="008E1F38">
        <w:rPr>
          <w:color w:val="000000" w:themeColor="text1"/>
          <w:sz w:val="22"/>
          <w:szCs w:val="22"/>
          <w:lang w:val="ru-RU"/>
        </w:rPr>
        <w:t xml:space="preserve">в пункте </w:t>
      </w:r>
      <w:r w:rsidR="00A70C68" w:rsidRPr="008E1F38">
        <w:rPr>
          <w:color w:val="000000" w:themeColor="text1"/>
          <w:sz w:val="22"/>
          <w:szCs w:val="22"/>
          <w:lang w:val="ro-RO"/>
        </w:rPr>
        <w:t>114</w:t>
      </w:r>
      <w:r w:rsidRPr="008E1F38">
        <w:rPr>
          <w:color w:val="000000" w:themeColor="text1"/>
          <w:sz w:val="22"/>
          <w:szCs w:val="22"/>
          <w:lang w:val="ru-RU"/>
        </w:rPr>
        <w:t xml:space="preserve"> после слов </w:t>
      </w:r>
      <w:r w:rsidR="00594F4C" w:rsidRPr="008E1F38">
        <w:rPr>
          <w:color w:val="000000" w:themeColor="text1"/>
          <w:sz w:val="22"/>
          <w:szCs w:val="22"/>
          <w:lang w:val="ru-RU"/>
        </w:rPr>
        <w:t>«</w:t>
      </w:r>
      <w:r w:rsidR="00594F4C" w:rsidRPr="008E1F38">
        <w:rPr>
          <w:sz w:val="22"/>
          <w:szCs w:val="22"/>
          <w:lang w:val="ru-RU" w:eastAsia="ro-MD"/>
        </w:rPr>
        <w:t>стоимость подверженностей с учетом риска» дополнить текстом «</w:t>
      </w:r>
      <w:r w:rsidR="008E1F38" w:rsidRPr="008E1F38">
        <w:rPr>
          <w:sz w:val="22"/>
          <w:szCs w:val="22"/>
          <w:lang w:val="ru-RU" w:eastAsia="ro-MD"/>
        </w:rPr>
        <w:t xml:space="preserve">с </w:t>
      </w:r>
      <w:proofErr w:type="spellStart"/>
      <w:r w:rsidR="0049155D">
        <w:rPr>
          <w:color w:val="000000" w:themeColor="text1"/>
          <w:sz w:val="22"/>
          <w:szCs w:val="22"/>
          <w:lang w:val="ru-RU" w:eastAsia="ro-MD"/>
        </w:rPr>
        <w:t>нефинансированной</w:t>
      </w:r>
      <w:proofErr w:type="spellEnd"/>
      <w:r w:rsidR="0049155D">
        <w:rPr>
          <w:color w:val="000000" w:themeColor="text1"/>
          <w:sz w:val="22"/>
          <w:szCs w:val="22"/>
          <w:lang w:val="ru-RU" w:eastAsia="ro-MD"/>
        </w:rPr>
        <w:t xml:space="preserve"> защитой кредита</w:t>
      </w:r>
      <w:r w:rsidR="008E1F38" w:rsidRPr="008E1F38">
        <w:rPr>
          <w:sz w:val="22"/>
          <w:szCs w:val="22"/>
          <w:lang w:val="ru-RU" w:eastAsia="ro-MD"/>
        </w:rPr>
        <w:t>, для которых эти банки применяют стандартизированный подход, независимо от обработки сопоставимых прямых рисков поставщика страхования,»</w:t>
      </w:r>
      <w:r w:rsidR="0027027C" w:rsidRPr="008E1F38">
        <w:rPr>
          <w:color w:val="000000" w:themeColor="text1"/>
          <w:sz w:val="22"/>
          <w:szCs w:val="22"/>
          <w:lang w:val="ro-RO" w:eastAsia="ro-MD"/>
        </w:rPr>
        <w:t>;</w:t>
      </w:r>
    </w:p>
    <w:p w14:paraId="03A7259F" w14:textId="2F3013C1" w:rsidR="00A70C68" w:rsidRPr="00195CB0" w:rsidRDefault="00AE48DC" w:rsidP="00FB709D">
      <w:pPr>
        <w:pStyle w:val="ListParagraph"/>
        <w:numPr>
          <w:ilvl w:val="2"/>
          <w:numId w:val="27"/>
        </w:numPr>
        <w:tabs>
          <w:tab w:val="left" w:pos="567"/>
        </w:tabs>
        <w:spacing w:before="80"/>
        <w:ind w:left="0" w:firstLine="567"/>
        <w:contextualSpacing w:val="0"/>
        <w:jc w:val="both"/>
        <w:rPr>
          <w:color w:val="000000" w:themeColor="text1"/>
          <w:sz w:val="22"/>
          <w:szCs w:val="22"/>
          <w:lang w:val="ru-RU"/>
        </w:rPr>
      </w:pPr>
      <w:r w:rsidRPr="00195CB0">
        <w:rPr>
          <w:color w:val="000000" w:themeColor="text1"/>
          <w:sz w:val="22"/>
          <w:szCs w:val="22"/>
          <w:lang w:val="ru-RU"/>
        </w:rPr>
        <w:t xml:space="preserve">в пункте </w:t>
      </w:r>
      <w:r w:rsidR="00417D44" w:rsidRPr="00195CB0">
        <w:rPr>
          <w:color w:val="000000" w:themeColor="text1"/>
          <w:sz w:val="22"/>
          <w:szCs w:val="22"/>
          <w:lang w:val="ru-RU"/>
        </w:rPr>
        <w:t xml:space="preserve">116 </w:t>
      </w:r>
      <w:r w:rsidRPr="00195CB0">
        <w:rPr>
          <w:color w:val="000000" w:themeColor="text1"/>
          <w:sz w:val="22"/>
          <w:szCs w:val="22"/>
          <w:lang w:val="ru-RU"/>
        </w:rPr>
        <w:t>после текста «</w:t>
      </w:r>
      <w:r w:rsidR="003829EA" w:rsidRPr="00195CB0">
        <w:rPr>
          <w:color w:val="000000" w:themeColor="text1"/>
          <w:sz w:val="22"/>
          <w:szCs w:val="22"/>
          <w:lang w:val="ru-RU"/>
        </w:rPr>
        <w:t xml:space="preserve">центральным банком» дополнить текстом </w:t>
      </w:r>
      <w:r w:rsidR="00B34292" w:rsidRPr="00195CB0">
        <w:rPr>
          <w:color w:val="000000" w:themeColor="text1"/>
          <w:sz w:val="22"/>
          <w:szCs w:val="22"/>
          <w:lang w:val="ru-RU"/>
        </w:rPr>
        <w:t xml:space="preserve">«при условии, что такие прямые подверженности соответствуют условиям, изложенным в пунктах </w:t>
      </w:r>
      <w:r w:rsidR="00BD56EC" w:rsidRPr="00195CB0">
        <w:rPr>
          <w:color w:val="000000" w:themeColor="text1"/>
          <w:sz w:val="22"/>
          <w:szCs w:val="22"/>
          <w:lang w:val="ru-RU"/>
        </w:rPr>
        <w:t>31–</w:t>
      </w:r>
      <w:r w:rsidR="00B269B6" w:rsidRPr="00195CB0">
        <w:rPr>
          <w:color w:val="000000" w:themeColor="text1"/>
          <w:sz w:val="22"/>
          <w:szCs w:val="22"/>
          <w:lang w:val="ru-RU"/>
        </w:rPr>
        <w:t>33 указанного</w:t>
      </w:r>
      <w:r w:rsidR="00B34292" w:rsidRPr="00195CB0">
        <w:rPr>
          <w:color w:val="000000" w:themeColor="text1"/>
          <w:sz w:val="22"/>
          <w:szCs w:val="22"/>
          <w:lang w:val="ru-RU"/>
        </w:rPr>
        <w:t xml:space="preserve"> регламента и»</w:t>
      </w:r>
      <w:r w:rsidR="00417D44" w:rsidRPr="00195CB0">
        <w:rPr>
          <w:color w:val="000000" w:themeColor="text1"/>
          <w:sz w:val="22"/>
          <w:szCs w:val="22"/>
          <w:lang w:val="ru-RU" w:eastAsia="ro-MD"/>
        </w:rPr>
        <w:t>;</w:t>
      </w:r>
    </w:p>
    <w:p w14:paraId="5ACCD37C" w14:textId="7DD23C7B" w:rsidR="00FB709D" w:rsidRPr="00195CB0" w:rsidRDefault="00195CB0" w:rsidP="00FB709D">
      <w:pPr>
        <w:pStyle w:val="ListParagraph"/>
        <w:numPr>
          <w:ilvl w:val="2"/>
          <w:numId w:val="27"/>
        </w:numPr>
        <w:ind w:left="0" w:firstLine="567"/>
        <w:rPr>
          <w:color w:val="000000" w:themeColor="text1"/>
          <w:sz w:val="22"/>
          <w:szCs w:val="22"/>
          <w:lang w:val="ru-RU"/>
        </w:rPr>
      </w:pPr>
      <w:r w:rsidRPr="00195CB0">
        <w:rPr>
          <w:color w:val="000000" w:themeColor="text1"/>
          <w:sz w:val="22"/>
          <w:szCs w:val="22"/>
          <w:lang w:val="ru-RU"/>
        </w:rPr>
        <w:t>дополнить частями</w:t>
      </w:r>
      <w:r w:rsidR="00FB709D" w:rsidRPr="00195CB0">
        <w:rPr>
          <w:color w:val="000000" w:themeColor="text1"/>
          <w:sz w:val="22"/>
          <w:szCs w:val="22"/>
          <w:lang w:val="ru-RU"/>
        </w:rPr>
        <w:t xml:space="preserve"> </w:t>
      </w:r>
      <w:proofErr w:type="gramStart"/>
      <w:r w:rsidR="0052750B" w:rsidRPr="00195CB0">
        <w:rPr>
          <w:color w:val="000000" w:themeColor="text1"/>
          <w:sz w:val="22"/>
          <w:szCs w:val="22"/>
          <w:lang w:val="ru-RU"/>
        </w:rPr>
        <w:t>2</w:t>
      </w:r>
      <w:r w:rsidR="00FB709D" w:rsidRPr="00195CB0">
        <w:rPr>
          <w:color w:val="000000" w:themeColor="text1"/>
          <w:sz w:val="22"/>
          <w:szCs w:val="22"/>
          <w:vertAlign w:val="superscript"/>
          <w:lang w:val="ru-RU"/>
        </w:rPr>
        <w:t>1</w:t>
      </w:r>
      <w:r w:rsidR="0052750B" w:rsidRPr="00195CB0">
        <w:rPr>
          <w:color w:val="000000" w:themeColor="text1"/>
          <w:sz w:val="22"/>
          <w:szCs w:val="22"/>
          <w:lang w:val="ru-RU"/>
        </w:rPr>
        <w:t>-2</w:t>
      </w:r>
      <w:r w:rsidR="0052750B" w:rsidRPr="00195CB0">
        <w:rPr>
          <w:color w:val="000000" w:themeColor="text1"/>
          <w:sz w:val="22"/>
          <w:szCs w:val="22"/>
          <w:vertAlign w:val="superscript"/>
          <w:lang w:val="ru-RU"/>
        </w:rPr>
        <w:t>3</w:t>
      </w:r>
      <w:proofErr w:type="gramEnd"/>
      <w:r w:rsidR="00FB709D" w:rsidRPr="00195CB0">
        <w:rPr>
          <w:color w:val="000000" w:themeColor="text1"/>
          <w:sz w:val="22"/>
          <w:szCs w:val="22"/>
          <w:lang w:val="ru-RU"/>
        </w:rPr>
        <w:t xml:space="preserve"> </w:t>
      </w:r>
      <w:r w:rsidRPr="00195CB0">
        <w:rPr>
          <w:color w:val="000000" w:themeColor="text1"/>
          <w:sz w:val="22"/>
          <w:szCs w:val="22"/>
          <w:lang w:val="ru-RU"/>
        </w:rPr>
        <w:t>следующего содержания</w:t>
      </w:r>
      <w:r w:rsidR="00FB709D" w:rsidRPr="00195CB0">
        <w:rPr>
          <w:color w:val="000000" w:themeColor="text1"/>
          <w:sz w:val="22"/>
          <w:szCs w:val="22"/>
          <w:lang w:val="ru-RU"/>
        </w:rPr>
        <w:t xml:space="preserve">: </w:t>
      </w:r>
    </w:p>
    <w:p w14:paraId="396B84B6" w14:textId="7FB7D651" w:rsidR="009A79F2" w:rsidRPr="00884D1F" w:rsidRDefault="00BD56EC" w:rsidP="009A79F2">
      <w:pPr>
        <w:jc w:val="center"/>
        <w:rPr>
          <w:color w:val="000000" w:themeColor="text1"/>
          <w:sz w:val="22"/>
          <w:szCs w:val="22"/>
          <w:lang w:val="ro-RO" w:eastAsia="ro-MD"/>
        </w:rPr>
      </w:pPr>
      <w:r>
        <w:rPr>
          <w:color w:val="000000" w:themeColor="text1"/>
          <w:sz w:val="22"/>
          <w:szCs w:val="22"/>
          <w:lang w:val="ru-RU"/>
        </w:rPr>
        <w:t>«</w:t>
      </w:r>
      <w:r>
        <w:rPr>
          <w:b/>
          <w:bCs/>
          <w:i/>
          <w:iCs/>
          <w:color w:val="000000" w:themeColor="text1"/>
          <w:sz w:val="22"/>
          <w:szCs w:val="22"/>
          <w:lang w:val="ru-RU" w:eastAsia="ro-MD"/>
        </w:rPr>
        <w:t>Часть</w:t>
      </w:r>
      <w:r w:rsidR="009A79F2" w:rsidRPr="00884D1F">
        <w:rPr>
          <w:b/>
          <w:bCs/>
          <w:i/>
          <w:iCs/>
          <w:color w:val="000000" w:themeColor="text1"/>
          <w:sz w:val="22"/>
          <w:szCs w:val="22"/>
          <w:lang w:val="ro-RO" w:eastAsia="ro-MD"/>
        </w:rPr>
        <w:t xml:space="preserve"> 2</w:t>
      </w:r>
      <w:r w:rsidR="009A79F2" w:rsidRPr="00884D1F">
        <w:rPr>
          <w:b/>
          <w:bCs/>
          <w:i/>
          <w:iCs/>
          <w:color w:val="000000" w:themeColor="text1"/>
          <w:sz w:val="22"/>
          <w:szCs w:val="22"/>
          <w:vertAlign w:val="superscript"/>
          <w:lang w:val="ro-RO" w:eastAsia="ro-MD"/>
        </w:rPr>
        <w:t>1</w:t>
      </w:r>
    </w:p>
    <w:p w14:paraId="2A19A08E" w14:textId="6A461F41" w:rsidR="00F14799" w:rsidRPr="00F14799" w:rsidRDefault="00F14799" w:rsidP="00F14799">
      <w:pPr>
        <w:jc w:val="center"/>
        <w:rPr>
          <w:b/>
          <w:bCs/>
          <w:i/>
          <w:iCs/>
          <w:color w:val="000000" w:themeColor="text1"/>
          <w:sz w:val="22"/>
          <w:szCs w:val="22"/>
          <w:lang w:val="ru-RU" w:eastAsia="ro-MD"/>
        </w:rPr>
      </w:pPr>
      <w:r w:rsidRPr="00F14799">
        <w:rPr>
          <w:b/>
          <w:bCs/>
          <w:i/>
          <w:iCs/>
          <w:color w:val="000000" w:themeColor="text1"/>
          <w:sz w:val="22"/>
          <w:szCs w:val="22"/>
          <w:lang w:val="ru-RU" w:eastAsia="ro-MD"/>
        </w:rPr>
        <w:t>Расчет взвешенных по риску сумм подверженност</w:t>
      </w:r>
      <w:r>
        <w:rPr>
          <w:b/>
          <w:bCs/>
          <w:i/>
          <w:iCs/>
          <w:color w:val="000000" w:themeColor="text1"/>
          <w:sz w:val="22"/>
          <w:szCs w:val="22"/>
          <w:lang w:val="ru-RU" w:eastAsia="ro-MD"/>
        </w:rPr>
        <w:t>ей</w:t>
      </w:r>
      <w:r w:rsidRPr="00F14799">
        <w:rPr>
          <w:b/>
          <w:bCs/>
          <w:i/>
          <w:iCs/>
          <w:color w:val="000000" w:themeColor="text1"/>
          <w:sz w:val="22"/>
          <w:szCs w:val="22"/>
          <w:lang w:val="ru-RU" w:eastAsia="ro-MD"/>
        </w:rPr>
        <w:t xml:space="preserve"> и ожидаемых сумм убытков при использовании метода замещения, когда гарантированная подверженность рассматривается в соответствии с подходом IRB, а сопоставимая прямая подверженность перед поставщиком защиты рассматривается в соответствии со стандартизированным подходом</w:t>
      </w:r>
    </w:p>
    <w:p w14:paraId="5D1E4D01" w14:textId="77777777" w:rsidR="00F14799" w:rsidRDefault="00F14799" w:rsidP="00DA7A66">
      <w:pPr>
        <w:jc w:val="both"/>
        <w:rPr>
          <w:b/>
          <w:bCs/>
          <w:i/>
          <w:iCs/>
          <w:color w:val="000000" w:themeColor="text1"/>
          <w:sz w:val="22"/>
          <w:szCs w:val="22"/>
          <w:lang w:val="ru-RU" w:eastAsia="ro-MD"/>
        </w:rPr>
      </w:pPr>
    </w:p>
    <w:p w14:paraId="5ED7E632" w14:textId="08B21FFC" w:rsidR="009A79F2" w:rsidRPr="00DD72DB" w:rsidRDefault="009A79F2" w:rsidP="00DA7A66">
      <w:pPr>
        <w:jc w:val="both"/>
        <w:rPr>
          <w:color w:val="000000" w:themeColor="text1"/>
          <w:sz w:val="22"/>
          <w:szCs w:val="22"/>
          <w:lang w:val="ru-RU" w:eastAsia="ro-MD"/>
        </w:rPr>
      </w:pPr>
      <w:r w:rsidRPr="00DD72DB">
        <w:rPr>
          <w:b/>
          <w:bCs/>
          <w:color w:val="000000" w:themeColor="text1"/>
          <w:sz w:val="22"/>
          <w:szCs w:val="22"/>
          <w:lang w:val="ru-RU" w:eastAsia="ro-MD"/>
        </w:rPr>
        <w:t>116</w:t>
      </w:r>
      <w:r w:rsidRPr="00DD72DB">
        <w:rPr>
          <w:b/>
          <w:bCs/>
          <w:color w:val="000000" w:themeColor="text1"/>
          <w:sz w:val="22"/>
          <w:szCs w:val="22"/>
          <w:vertAlign w:val="superscript"/>
          <w:lang w:val="ru-RU" w:eastAsia="ro-MD"/>
        </w:rPr>
        <w:t>1</w:t>
      </w:r>
      <w:r w:rsidRPr="00DD72DB">
        <w:rPr>
          <w:b/>
          <w:bCs/>
          <w:color w:val="000000" w:themeColor="text1"/>
          <w:sz w:val="22"/>
          <w:szCs w:val="22"/>
          <w:lang w:val="ru-RU" w:eastAsia="ro-MD"/>
        </w:rPr>
        <w:t>.</w:t>
      </w:r>
      <w:r w:rsidRPr="00DD72DB">
        <w:rPr>
          <w:color w:val="000000" w:themeColor="text1"/>
          <w:sz w:val="22"/>
          <w:szCs w:val="22"/>
          <w:lang w:val="ru-RU" w:eastAsia="ro-MD"/>
        </w:rPr>
        <w:t xml:space="preserve"> </w:t>
      </w:r>
      <w:r w:rsidR="00DD72DB" w:rsidRPr="00DD72DB">
        <w:rPr>
          <w:color w:val="000000" w:themeColor="text1"/>
          <w:sz w:val="22"/>
          <w:szCs w:val="22"/>
          <w:lang w:val="ru-RU" w:eastAsia="ro-MD"/>
        </w:rPr>
        <w:t xml:space="preserve">Для подверженностей с </w:t>
      </w:r>
      <w:proofErr w:type="spellStart"/>
      <w:r w:rsidR="0049155D">
        <w:rPr>
          <w:color w:val="000000" w:themeColor="text1"/>
          <w:sz w:val="22"/>
          <w:szCs w:val="22"/>
          <w:lang w:val="ru-RU" w:eastAsia="ro-MD"/>
        </w:rPr>
        <w:t>нефинансированной</w:t>
      </w:r>
      <w:proofErr w:type="spellEnd"/>
      <w:r w:rsidR="0049155D">
        <w:rPr>
          <w:color w:val="000000" w:themeColor="text1"/>
          <w:sz w:val="22"/>
          <w:szCs w:val="22"/>
          <w:lang w:val="ru-RU" w:eastAsia="ro-MD"/>
        </w:rPr>
        <w:t xml:space="preserve"> защитой кредита</w:t>
      </w:r>
      <w:r w:rsidR="00DD72DB" w:rsidRPr="00DD72DB">
        <w:rPr>
          <w:color w:val="000000" w:themeColor="text1"/>
          <w:sz w:val="22"/>
          <w:szCs w:val="22"/>
          <w:lang w:val="ru-RU" w:eastAsia="ro-MD"/>
        </w:rPr>
        <w:t>, к которым банк применяет подход IRB, и где сопоставимые прямые подверженности перед поставщиком защиты рассматриваются в соответствии со стандартизированным подходом, банки должны рассчитывать взвешенные по риску суммы подверженностей в соответствии со следующей формулой</w:t>
      </w:r>
      <w:r w:rsidRPr="00DD72DB">
        <w:rPr>
          <w:color w:val="000000" w:themeColor="text1"/>
          <w:sz w:val="22"/>
          <w:szCs w:val="22"/>
          <w:lang w:val="ru-RU" w:eastAsia="ro-MD"/>
        </w:rPr>
        <w:t>:</w:t>
      </w:r>
    </w:p>
    <w:p w14:paraId="1BA6FE35" w14:textId="77777777" w:rsidR="009A79F2" w:rsidRPr="00884D1F" w:rsidRDefault="009A79F2" w:rsidP="009A79F2">
      <w:pPr>
        <w:ind w:firstLine="567"/>
        <w:jc w:val="center"/>
        <w:rPr>
          <w:color w:val="000000" w:themeColor="text1"/>
          <w:sz w:val="22"/>
          <w:szCs w:val="22"/>
          <w:lang w:val="ro-RO" w:eastAsia="ro-MD"/>
        </w:rPr>
      </w:pPr>
      <w:proofErr w:type="spellStart"/>
      <w:r w:rsidRPr="00884D1F">
        <w:rPr>
          <w:color w:val="000000" w:themeColor="text1"/>
          <w:sz w:val="22"/>
          <w:szCs w:val="22"/>
          <w:lang w:val="ro-RO" w:eastAsia="ro-MD"/>
        </w:rPr>
        <w:t>max</w:t>
      </w:r>
      <w:proofErr w:type="spellEnd"/>
      <w:r w:rsidRPr="00884D1F">
        <w:rPr>
          <w:color w:val="000000" w:themeColor="text1"/>
          <w:sz w:val="22"/>
          <w:szCs w:val="22"/>
          <w:lang w:val="ro-RO" w:eastAsia="ro-MD"/>
        </w:rPr>
        <w:t>{0, E – G</w:t>
      </w:r>
      <w:r w:rsidRPr="00884D1F">
        <w:rPr>
          <w:color w:val="000000" w:themeColor="text1"/>
          <w:sz w:val="22"/>
          <w:szCs w:val="22"/>
          <w:vertAlign w:val="subscript"/>
          <w:lang w:val="ro-RO" w:eastAsia="ro-MD"/>
        </w:rPr>
        <w:t>A</w:t>
      </w:r>
      <w:r w:rsidRPr="00884D1F">
        <w:rPr>
          <w:color w:val="000000" w:themeColor="text1"/>
          <w:sz w:val="22"/>
          <w:szCs w:val="22"/>
          <w:lang w:val="ro-RO" w:eastAsia="ro-MD"/>
        </w:rPr>
        <w:t>} · r + G</w:t>
      </w:r>
      <w:r w:rsidRPr="00884D1F">
        <w:rPr>
          <w:color w:val="000000" w:themeColor="text1"/>
          <w:sz w:val="22"/>
          <w:szCs w:val="22"/>
          <w:vertAlign w:val="subscript"/>
          <w:lang w:val="ro-RO" w:eastAsia="ro-MD"/>
        </w:rPr>
        <w:t>A</w:t>
      </w:r>
      <w:r w:rsidRPr="00884D1F">
        <w:rPr>
          <w:color w:val="000000" w:themeColor="text1"/>
          <w:sz w:val="22"/>
          <w:szCs w:val="22"/>
          <w:lang w:val="ro-RO" w:eastAsia="ro-MD"/>
        </w:rPr>
        <w:t xml:space="preserve"> · g</w:t>
      </w:r>
    </w:p>
    <w:p w14:paraId="7072FC43" w14:textId="5B5D350C" w:rsidR="009A79F2" w:rsidRPr="00884D1F" w:rsidRDefault="00B269B6" w:rsidP="009A79F2">
      <w:pPr>
        <w:ind w:firstLine="567"/>
        <w:jc w:val="both"/>
        <w:rPr>
          <w:color w:val="000000" w:themeColor="text1"/>
          <w:sz w:val="22"/>
          <w:szCs w:val="22"/>
          <w:lang w:val="ro-RO" w:eastAsia="ro-MD"/>
        </w:rPr>
      </w:pPr>
      <w:r>
        <w:rPr>
          <w:color w:val="000000" w:themeColor="text1"/>
          <w:sz w:val="22"/>
          <w:szCs w:val="22"/>
          <w:lang w:val="ru-RU" w:eastAsia="ro-MD"/>
        </w:rPr>
        <w:t>где</w:t>
      </w:r>
      <w:r w:rsidR="009A79F2" w:rsidRPr="00884D1F">
        <w:rPr>
          <w:color w:val="000000" w:themeColor="text1"/>
          <w:sz w:val="22"/>
          <w:szCs w:val="22"/>
          <w:lang w:val="ro-RO" w:eastAsia="ro-MD"/>
        </w:rPr>
        <w:t>:</w:t>
      </w:r>
    </w:p>
    <w:p w14:paraId="06447B59" w14:textId="41E9F1C2" w:rsidR="009A79F2" w:rsidRPr="00D13F6A" w:rsidRDefault="009A79F2" w:rsidP="009A79F2">
      <w:pPr>
        <w:ind w:firstLine="567"/>
        <w:jc w:val="both"/>
        <w:rPr>
          <w:color w:val="000000" w:themeColor="text1"/>
          <w:sz w:val="22"/>
          <w:szCs w:val="22"/>
          <w:lang w:val="ru-RU" w:eastAsia="ro-MD"/>
        </w:rPr>
      </w:pPr>
      <w:r w:rsidRPr="00D13F6A">
        <w:rPr>
          <w:color w:val="000000" w:themeColor="text1"/>
          <w:sz w:val="22"/>
          <w:szCs w:val="22"/>
          <w:lang w:val="ru-RU" w:eastAsia="ro-MD"/>
        </w:rPr>
        <w:t xml:space="preserve">E = </w:t>
      </w:r>
      <w:r w:rsidR="008F06ED" w:rsidRPr="00D13F6A">
        <w:rPr>
          <w:color w:val="000000" w:themeColor="text1"/>
          <w:sz w:val="22"/>
          <w:szCs w:val="22"/>
          <w:lang w:val="ru-RU" w:eastAsia="ro-MD"/>
        </w:rPr>
        <w:t xml:space="preserve">стоимость подверженности определяется в соответствии с нормативным актом Национального банка Молдовы об отношении к кредитному риску для банков в рамках подхода, основанного на внутренних рейтинговых моделях; для этой цели банки должны рассчитывать </w:t>
      </w:r>
      <w:r w:rsidR="00007861" w:rsidRPr="00D13F6A">
        <w:rPr>
          <w:color w:val="000000" w:themeColor="text1"/>
          <w:sz w:val="22"/>
          <w:szCs w:val="22"/>
          <w:lang w:val="ru-RU" w:eastAsia="ro-MD"/>
        </w:rPr>
        <w:t>стоимость подверженности</w:t>
      </w:r>
      <w:r w:rsidR="008F06ED" w:rsidRPr="00D13F6A">
        <w:rPr>
          <w:color w:val="000000" w:themeColor="text1"/>
          <w:sz w:val="22"/>
          <w:szCs w:val="22"/>
          <w:lang w:val="ru-RU" w:eastAsia="ro-MD"/>
        </w:rPr>
        <w:t xml:space="preserve"> для внебалансовых </w:t>
      </w:r>
      <w:r w:rsidR="00007861" w:rsidRPr="00D13F6A">
        <w:rPr>
          <w:color w:val="000000" w:themeColor="text1"/>
          <w:sz w:val="22"/>
          <w:szCs w:val="22"/>
          <w:lang w:val="ru-RU" w:eastAsia="ro-MD"/>
        </w:rPr>
        <w:t>элементов</w:t>
      </w:r>
      <w:r w:rsidR="008F06ED" w:rsidRPr="00D13F6A">
        <w:rPr>
          <w:color w:val="000000" w:themeColor="text1"/>
          <w:sz w:val="22"/>
          <w:szCs w:val="22"/>
          <w:lang w:val="ru-RU" w:eastAsia="ro-MD"/>
        </w:rPr>
        <w:t xml:space="preserve">, за исключением производных </w:t>
      </w:r>
      <w:r w:rsidR="00007861" w:rsidRPr="00D13F6A">
        <w:rPr>
          <w:color w:val="000000" w:themeColor="text1"/>
          <w:sz w:val="22"/>
          <w:szCs w:val="22"/>
          <w:lang w:val="ru-RU" w:eastAsia="ro-MD"/>
        </w:rPr>
        <w:t xml:space="preserve">финансовых </w:t>
      </w:r>
      <w:r w:rsidR="008F06ED" w:rsidRPr="00D13F6A">
        <w:rPr>
          <w:color w:val="000000" w:themeColor="text1"/>
          <w:sz w:val="22"/>
          <w:szCs w:val="22"/>
          <w:lang w:val="ru-RU" w:eastAsia="ro-MD"/>
        </w:rPr>
        <w:t xml:space="preserve">инструментов, </w:t>
      </w:r>
      <w:r w:rsidR="00007861" w:rsidRPr="00D13F6A">
        <w:rPr>
          <w:color w:val="000000" w:themeColor="text1"/>
          <w:sz w:val="22"/>
          <w:szCs w:val="22"/>
          <w:lang w:val="ru-RU" w:eastAsia="ro-MD"/>
        </w:rPr>
        <w:t>рассматрива</w:t>
      </w:r>
      <w:r w:rsidR="008F06ED" w:rsidRPr="00D13F6A">
        <w:rPr>
          <w:color w:val="000000" w:themeColor="text1"/>
          <w:sz w:val="22"/>
          <w:szCs w:val="22"/>
          <w:lang w:val="ru-RU" w:eastAsia="ro-MD"/>
        </w:rPr>
        <w:t xml:space="preserve">емых в рамках подхода, основанного на внутренних рейтинговых моделях, используя 100% коэффициент </w:t>
      </w:r>
      <w:r w:rsidR="00D13F6A" w:rsidRPr="00D13F6A">
        <w:rPr>
          <w:color w:val="000000" w:themeColor="text1"/>
          <w:sz w:val="22"/>
          <w:szCs w:val="22"/>
          <w:lang w:val="ru-RU" w:eastAsia="ro-MD"/>
        </w:rPr>
        <w:t xml:space="preserve">CCF </w:t>
      </w:r>
      <w:r w:rsidR="008F06ED" w:rsidRPr="00D13F6A">
        <w:rPr>
          <w:color w:val="000000" w:themeColor="text1"/>
          <w:sz w:val="22"/>
          <w:szCs w:val="22"/>
          <w:lang w:val="ru-RU" w:eastAsia="ro-MD"/>
        </w:rPr>
        <w:t xml:space="preserve">вместо </w:t>
      </w:r>
      <w:r w:rsidR="00D13F6A" w:rsidRPr="00D13F6A">
        <w:rPr>
          <w:color w:val="000000" w:themeColor="text1"/>
          <w:sz w:val="22"/>
          <w:szCs w:val="22"/>
          <w:lang w:val="ru-RU" w:eastAsia="ro-MD"/>
        </w:rPr>
        <w:t>CCF</w:t>
      </w:r>
      <w:r w:rsidR="008F06ED" w:rsidRPr="00D13F6A">
        <w:rPr>
          <w:color w:val="000000" w:themeColor="text1"/>
          <w:sz w:val="22"/>
          <w:szCs w:val="22"/>
          <w:lang w:val="ru-RU" w:eastAsia="ro-MD"/>
        </w:rPr>
        <w:t xml:space="preserve"> по стандартизированному подходу или </w:t>
      </w:r>
      <w:r w:rsidR="00D13F6A" w:rsidRPr="00D13F6A">
        <w:rPr>
          <w:color w:val="000000" w:themeColor="text1"/>
          <w:sz w:val="22"/>
          <w:szCs w:val="22"/>
          <w:lang w:val="ru-RU" w:eastAsia="ro-MD"/>
        </w:rPr>
        <w:t xml:space="preserve">CCF </w:t>
      </w:r>
      <w:r w:rsidR="008F06ED" w:rsidRPr="00D13F6A">
        <w:rPr>
          <w:color w:val="000000" w:themeColor="text1"/>
          <w:sz w:val="22"/>
          <w:szCs w:val="22"/>
          <w:lang w:val="ru-RU" w:eastAsia="ro-MD"/>
        </w:rPr>
        <w:t xml:space="preserve"> по подходу, основанному на внутренних рейтинговых моделях, предусмотренного нормативным актом Национального банка Молдовы </w:t>
      </w:r>
      <w:r w:rsidR="00D13F6A" w:rsidRPr="00D13F6A">
        <w:rPr>
          <w:color w:val="000000" w:themeColor="text1"/>
          <w:sz w:val="22"/>
          <w:szCs w:val="22"/>
          <w:lang w:val="ru-RU" w:eastAsia="ro-MD"/>
        </w:rPr>
        <w:t xml:space="preserve">об отношении к кредитному риску </w:t>
      </w:r>
      <w:r w:rsidR="008F06ED" w:rsidRPr="00D13F6A">
        <w:rPr>
          <w:color w:val="000000" w:themeColor="text1"/>
          <w:sz w:val="22"/>
          <w:szCs w:val="22"/>
          <w:lang w:val="ru-RU" w:eastAsia="ro-MD"/>
        </w:rPr>
        <w:t>для банков в рамках подхода, основанного на внутренних рейтинговых моделя</w:t>
      </w:r>
      <w:r w:rsidR="00D13F6A" w:rsidRPr="00D13F6A">
        <w:rPr>
          <w:color w:val="000000" w:themeColor="text1"/>
          <w:sz w:val="22"/>
          <w:szCs w:val="22"/>
          <w:lang w:val="ru-RU" w:eastAsia="ro-MD"/>
        </w:rPr>
        <w:t>х</w:t>
      </w:r>
      <w:r w:rsidRPr="00D13F6A">
        <w:rPr>
          <w:color w:val="000000" w:themeColor="text1"/>
          <w:sz w:val="22"/>
          <w:szCs w:val="22"/>
          <w:lang w:val="ru-RU" w:eastAsia="ro-MD"/>
        </w:rPr>
        <w:t>;</w:t>
      </w:r>
    </w:p>
    <w:p w14:paraId="0C3CB31E" w14:textId="33E13DBF" w:rsidR="009A79F2" w:rsidRPr="006D7CC2" w:rsidRDefault="009A79F2" w:rsidP="009A79F2">
      <w:pPr>
        <w:ind w:firstLine="567"/>
        <w:jc w:val="both"/>
        <w:rPr>
          <w:color w:val="000000" w:themeColor="text1"/>
          <w:sz w:val="22"/>
          <w:szCs w:val="22"/>
          <w:lang w:val="ru-RU" w:eastAsia="ro-MD"/>
        </w:rPr>
      </w:pPr>
      <w:r w:rsidRPr="006D7CC2">
        <w:rPr>
          <w:color w:val="000000" w:themeColor="text1"/>
          <w:sz w:val="22"/>
          <w:szCs w:val="22"/>
          <w:lang w:val="ru-RU" w:eastAsia="ro-MD"/>
        </w:rPr>
        <w:t>G</w:t>
      </w:r>
      <w:r w:rsidRPr="006D7CC2">
        <w:rPr>
          <w:color w:val="000000" w:themeColor="text1"/>
          <w:sz w:val="22"/>
          <w:szCs w:val="22"/>
          <w:vertAlign w:val="subscript"/>
          <w:lang w:val="ru-RU" w:eastAsia="ro-MD"/>
        </w:rPr>
        <w:t>A</w:t>
      </w:r>
      <w:r w:rsidRPr="006D7CC2">
        <w:rPr>
          <w:color w:val="000000" w:themeColor="text1"/>
          <w:sz w:val="22"/>
          <w:szCs w:val="22"/>
          <w:lang w:val="ru-RU" w:eastAsia="ro-MD"/>
        </w:rPr>
        <w:t xml:space="preserve"> = </w:t>
      </w:r>
      <w:r w:rsidR="006D7CC2" w:rsidRPr="006D7CC2">
        <w:rPr>
          <w:color w:val="000000" w:themeColor="text1"/>
          <w:sz w:val="22"/>
          <w:szCs w:val="22"/>
          <w:lang w:val="ru-RU" w:eastAsia="ro-MD"/>
        </w:rPr>
        <w:t>сумма кредитной защиты, скорректированная с учетом валютного риска (G*), рассчитанная в соответствии с пунктом 112 и дополнительно скорректированная с учетом любого несоответствия сроков погашения, как указано в главе V</w:t>
      </w:r>
      <w:r w:rsidRPr="006D7CC2">
        <w:rPr>
          <w:color w:val="000000" w:themeColor="text1"/>
          <w:sz w:val="22"/>
          <w:szCs w:val="22"/>
          <w:lang w:val="ru-RU" w:eastAsia="ro-MD"/>
        </w:rPr>
        <w:t>;</w:t>
      </w:r>
    </w:p>
    <w:p w14:paraId="0FB038B4" w14:textId="6C8B7F27" w:rsidR="009A79F2" w:rsidRPr="006D7CC2" w:rsidRDefault="009A79F2" w:rsidP="009A79F2">
      <w:pPr>
        <w:ind w:firstLine="567"/>
        <w:jc w:val="both"/>
        <w:rPr>
          <w:color w:val="000000" w:themeColor="text1"/>
          <w:sz w:val="22"/>
          <w:szCs w:val="22"/>
          <w:lang w:val="ru-RU" w:eastAsia="ro-MD"/>
        </w:rPr>
      </w:pPr>
      <w:r w:rsidRPr="006D7CC2">
        <w:rPr>
          <w:color w:val="000000" w:themeColor="text1"/>
          <w:sz w:val="22"/>
          <w:szCs w:val="22"/>
          <w:lang w:val="ru-RU" w:eastAsia="ro-MD"/>
        </w:rPr>
        <w:t xml:space="preserve">r = </w:t>
      </w:r>
      <w:r w:rsidR="006D7CC2" w:rsidRPr="006D7CC2">
        <w:rPr>
          <w:color w:val="000000" w:themeColor="text1"/>
          <w:sz w:val="22"/>
          <w:szCs w:val="22"/>
          <w:lang w:val="ru-RU" w:eastAsia="ro-MD"/>
        </w:rPr>
        <w:t xml:space="preserve">коэффициент риска, связанный с обязательствами перед заемщиком, указанный в нормативном акте Национального банка Молдовы об отношении </w:t>
      </w:r>
      <w:r w:rsidR="000728FD">
        <w:rPr>
          <w:color w:val="000000" w:themeColor="text1"/>
          <w:sz w:val="22"/>
          <w:szCs w:val="22"/>
          <w:lang w:val="ru-RU" w:eastAsia="ro-MD"/>
        </w:rPr>
        <w:t>к кредитному риску в соответствии с подходом</w:t>
      </w:r>
      <w:r w:rsidR="006D7CC2" w:rsidRPr="006D7CC2">
        <w:rPr>
          <w:color w:val="000000" w:themeColor="text1"/>
          <w:sz w:val="22"/>
          <w:szCs w:val="22"/>
          <w:lang w:val="ru-RU" w:eastAsia="ro-MD"/>
        </w:rPr>
        <w:t>, основанным на внутренних рейтинговых моделях</w:t>
      </w:r>
      <w:r w:rsidRPr="006D7CC2">
        <w:rPr>
          <w:color w:val="000000" w:themeColor="text1"/>
          <w:sz w:val="22"/>
          <w:szCs w:val="22"/>
          <w:lang w:val="ru-RU" w:eastAsia="ro-MD"/>
        </w:rPr>
        <w:t>;</w:t>
      </w:r>
    </w:p>
    <w:p w14:paraId="767C0AB5" w14:textId="16AED30D" w:rsidR="009A79F2" w:rsidRPr="003F2F51" w:rsidRDefault="009A79F2" w:rsidP="009A79F2">
      <w:pPr>
        <w:ind w:firstLine="567"/>
        <w:jc w:val="both"/>
        <w:rPr>
          <w:color w:val="000000" w:themeColor="text1"/>
          <w:sz w:val="22"/>
          <w:szCs w:val="22"/>
          <w:lang w:val="ru-RU" w:eastAsia="ro-MD"/>
        </w:rPr>
      </w:pPr>
      <w:r w:rsidRPr="003F2F51">
        <w:rPr>
          <w:color w:val="000000" w:themeColor="text1"/>
          <w:sz w:val="22"/>
          <w:szCs w:val="22"/>
          <w:lang w:val="ru-RU" w:eastAsia="ro-MD"/>
        </w:rPr>
        <w:t xml:space="preserve">g = </w:t>
      </w:r>
      <w:r w:rsidR="003F2F51" w:rsidRPr="003F2F51">
        <w:rPr>
          <w:color w:val="000000" w:themeColor="text1"/>
          <w:sz w:val="22"/>
          <w:szCs w:val="22"/>
          <w:lang w:val="ru-RU" w:eastAsia="ro-MD"/>
        </w:rPr>
        <w:t>коэффициент риска, применимый к прямой подверженности перед поставщиком защиты, указанный в Регламенте № 111/2018.</w:t>
      </w:r>
    </w:p>
    <w:p w14:paraId="093C8E2B" w14:textId="3E450AFA" w:rsidR="00A62F31" w:rsidRPr="00A62F31" w:rsidRDefault="009A79F2" w:rsidP="00D87955">
      <w:pPr>
        <w:jc w:val="both"/>
        <w:rPr>
          <w:color w:val="000000" w:themeColor="text1"/>
          <w:sz w:val="22"/>
          <w:szCs w:val="22"/>
          <w:lang w:val="ru-RU" w:eastAsia="ro-MD"/>
        </w:rPr>
      </w:pPr>
      <w:r w:rsidRPr="00A62F31">
        <w:rPr>
          <w:b/>
          <w:bCs/>
          <w:color w:val="000000" w:themeColor="text1"/>
          <w:sz w:val="22"/>
          <w:szCs w:val="22"/>
          <w:lang w:val="ru-RU" w:eastAsia="ro-MD"/>
        </w:rPr>
        <w:lastRenderedPageBreak/>
        <w:t>116</w:t>
      </w:r>
      <w:r w:rsidRPr="00A62F31">
        <w:rPr>
          <w:b/>
          <w:bCs/>
          <w:color w:val="000000" w:themeColor="text1"/>
          <w:sz w:val="22"/>
          <w:szCs w:val="22"/>
          <w:vertAlign w:val="superscript"/>
          <w:lang w:val="ru-RU" w:eastAsia="ro-MD"/>
        </w:rPr>
        <w:t>2</w:t>
      </w:r>
      <w:r w:rsidRPr="00A62F31">
        <w:rPr>
          <w:b/>
          <w:bCs/>
          <w:color w:val="000000" w:themeColor="text1"/>
          <w:sz w:val="22"/>
          <w:szCs w:val="22"/>
          <w:lang w:val="ru-RU" w:eastAsia="ro-MD"/>
        </w:rPr>
        <w:t>.</w:t>
      </w:r>
      <w:r w:rsidRPr="00A62F31">
        <w:rPr>
          <w:color w:val="000000" w:themeColor="text1"/>
          <w:sz w:val="22"/>
          <w:szCs w:val="22"/>
          <w:lang w:val="ru-RU" w:eastAsia="ro-MD"/>
        </w:rPr>
        <w:t xml:space="preserve"> </w:t>
      </w:r>
      <w:r w:rsidR="00A62F31" w:rsidRPr="00A62F31">
        <w:rPr>
          <w:color w:val="000000" w:themeColor="text1"/>
          <w:sz w:val="22"/>
          <w:szCs w:val="22"/>
          <w:lang w:val="ru-RU" w:eastAsia="ro-MD"/>
        </w:rPr>
        <w:t>Если сумма кредитной защиты (GA) меньше суммы</w:t>
      </w:r>
      <w:r w:rsidR="00A62F31">
        <w:rPr>
          <w:color w:val="000000" w:themeColor="text1"/>
          <w:sz w:val="22"/>
          <w:szCs w:val="22"/>
          <w:lang w:val="ru-RU" w:eastAsia="ro-MD"/>
        </w:rPr>
        <w:t xml:space="preserve"> </w:t>
      </w:r>
      <w:r w:rsidR="00A62F31" w:rsidRPr="00A62F31">
        <w:rPr>
          <w:color w:val="000000" w:themeColor="text1"/>
          <w:sz w:val="22"/>
          <w:szCs w:val="22"/>
          <w:lang w:val="ru-RU" w:eastAsia="ro-MD"/>
        </w:rPr>
        <w:t>подверженности (E), банки могут применять формулу, указанную в пункте 116</w:t>
      </w:r>
      <w:r w:rsidR="00A62F31" w:rsidRPr="00A62F31">
        <w:rPr>
          <w:color w:val="000000" w:themeColor="text1"/>
          <w:sz w:val="22"/>
          <w:szCs w:val="22"/>
          <w:vertAlign w:val="superscript"/>
          <w:lang w:val="ru-RU" w:eastAsia="ro-MD"/>
        </w:rPr>
        <w:t>1</w:t>
      </w:r>
      <w:r w:rsidR="00A62F31" w:rsidRPr="00A62F31">
        <w:rPr>
          <w:color w:val="000000" w:themeColor="text1"/>
          <w:sz w:val="22"/>
          <w:szCs w:val="22"/>
          <w:lang w:val="ru-RU" w:eastAsia="ro-MD"/>
        </w:rPr>
        <w:t>, только если защищенная и незащищенная части подверженности имеют одинаковый ранг.</w:t>
      </w:r>
    </w:p>
    <w:p w14:paraId="76A133C0" w14:textId="47F8C831" w:rsidR="009A79F2" w:rsidRPr="005C7F1F" w:rsidRDefault="009A79F2" w:rsidP="00D87955">
      <w:pPr>
        <w:jc w:val="both"/>
        <w:rPr>
          <w:color w:val="000000" w:themeColor="text1"/>
          <w:sz w:val="22"/>
          <w:szCs w:val="22"/>
          <w:lang w:val="ru-RU" w:eastAsia="ro-MD"/>
        </w:rPr>
      </w:pPr>
      <w:r w:rsidRPr="005C7F1F">
        <w:rPr>
          <w:b/>
          <w:bCs/>
          <w:color w:val="000000" w:themeColor="text1"/>
          <w:sz w:val="22"/>
          <w:szCs w:val="22"/>
          <w:lang w:val="ru-RU" w:eastAsia="ro-MD"/>
        </w:rPr>
        <w:t>116</w:t>
      </w:r>
      <w:r w:rsidRPr="005C7F1F">
        <w:rPr>
          <w:b/>
          <w:bCs/>
          <w:color w:val="000000" w:themeColor="text1"/>
          <w:sz w:val="22"/>
          <w:szCs w:val="22"/>
          <w:vertAlign w:val="superscript"/>
          <w:lang w:val="ru-RU" w:eastAsia="ro-MD"/>
        </w:rPr>
        <w:t>3</w:t>
      </w:r>
      <w:r w:rsidRPr="005C7F1F">
        <w:rPr>
          <w:b/>
          <w:bCs/>
          <w:color w:val="000000" w:themeColor="text1"/>
          <w:sz w:val="22"/>
          <w:szCs w:val="22"/>
          <w:lang w:val="ru-RU" w:eastAsia="ro-MD"/>
        </w:rPr>
        <w:t>.</w:t>
      </w:r>
      <w:r w:rsidRPr="005C7F1F">
        <w:rPr>
          <w:color w:val="000000" w:themeColor="text1"/>
          <w:sz w:val="22"/>
          <w:szCs w:val="22"/>
          <w:lang w:val="ru-RU" w:eastAsia="ro-MD"/>
        </w:rPr>
        <w:t xml:space="preserve"> </w:t>
      </w:r>
      <w:r w:rsidR="005C7F1F" w:rsidRPr="005C7F1F">
        <w:rPr>
          <w:color w:val="000000" w:themeColor="text1"/>
          <w:sz w:val="22"/>
          <w:szCs w:val="22"/>
          <w:lang w:val="ru-RU" w:eastAsia="ro-MD"/>
        </w:rPr>
        <w:t>Банки могут распространять преференциальный подход, предусмотренный Регламентом № 111/2018, на подверженности или части подверженностей, гарантированных центральной администрацией или центральным банком, как если бы эти подверженности  являлись прямыми подверженностями перед центральной администрацией или центральном банком, при условии, что такие прямые подверженности  соответствуют условиям, изложенным в пунктах 31-33 указанного Регламента</w:t>
      </w:r>
      <w:r w:rsidRPr="005C7F1F">
        <w:rPr>
          <w:color w:val="000000" w:themeColor="text1"/>
          <w:sz w:val="22"/>
          <w:szCs w:val="22"/>
          <w:lang w:val="ru-RU" w:eastAsia="ro-MD"/>
        </w:rPr>
        <w:t>.</w:t>
      </w:r>
    </w:p>
    <w:p w14:paraId="214B38E0" w14:textId="0DF9ECA9" w:rsidR="009A79F2" w:rsidRPr="005C7F1F" w:rsidRDefault="009A79F2" w:rsidP="00D87955">
      <w:pPr>
        <w:jc w:val="both"/>
        <w:rPr>
          <w:color w:val="000000" w:themeColor="text1"/>
          <w:sz w:val="22"/>
          <w:szCs w:val="22"/>
          <w:lang w:val="ru-RU" w:eastAsia="ro-MD"/>
        </w:rPr>
      </w:pPr>
      <w:r w:rsidRPr="005C7F1F">
        <w:rPr>
          <w:b/>
          <w:bCs/>
          <w:color w:val="000000" w:themeColor="text1"/>
          <w:sz w:val="22"/>
          <w:szCs w:val="22"/>
          <w:lang w:val="ru-RU" w:eastAsia="ro-MD"/>
        </w:rPr>
        <w:t>116</w:t>
      </w:r>
      <w:r w:rsidRPr="005C7F1F">
        <w:rPr>
          <w:b/>
          <w:bCs/>
          <w:color w:val="000000" w:themeColor="text1"/>
          <w:sz w:val="22"/>
          <w:szCs w:val="22"/>
          <w:vertAlign w:val="superscript"/>
          <w:lang w:val="ru-RU" w:eastAsia="ro-MD"/>
        </w:rPr>
        <w:t>4</w:t>
      </w:r>
      <w:r w:rsidRPr="005C7F1F">
        <w:rPr>
          <w:b/>
          <w:bCs/>
          <w:color w:val="000000" w:themeColor="text1"/>
          <w:sz w:val="22"/>
          <w:szCs w:val="22"/>
          <w:lang w:val="ru-RU" w:eastAsia="ro-MD"/>
        </w:rPr>
        <w:t>.</w:t>
      </w:r>
      <w:r w:rsidRPr="005C7F1F">
        <w:rPr>
          <w:color w:val="000000" w:themeColor="text1"/>
          <w:sz w:val="22"/>
          <w:szCs w:val="22"/>
          <w:lang w:val="ru-RU" w:eastAsia="ro-MD"/>
        </w:rPr>
        <w:t xml:space="preserve"> </w:t>
      </w:r>
      <w:r w:rsidR="005C7F1F" w:rsidRPr="005C7F1F">
        <w:rPr>
          <w:color w:val="000000" w:themeColor="text1"/>
          <w:sz w:val="22"/>
          <w:szCs w:val="22"/>
          <w:lang w:val="ru-RU" w:eastAsia="ro-MD"/>
        </w:rPr>
        <w:t>Сумма ожидаемых убытков для гарантированной части стоимости подверженности равна нулю</w:t>
      </w:r>
      <w:r w:rsidRPr="005C7F1F">
        <w:rPr>
          <w:color w:val="000000" w:themeColor="text1"/>
          <w:sz w:val="22"/>
          <w:szCs w:val="22"/>
          <w:lang w:val="ru-RU" w:eastAsia="ro-MD"/>
        </w:rPr>
        <w:t>.</w:t>
      </w:r>
    </w:p>
    <w:p w14:paraId="73D1A2DB" w14:textId="42E09E7E" w:rsidR="00CE54B2" w:rsidRPr="00CE54B2" w:rsidRDefault="009A79F2" w:rsidP="00A22BC1">
      <w:pPr>
        <w:jc w:val="both"/>
        <w:rPr>
          <w:color w:val="000000" w:themeColor="text1"/>
          <w:sz w:val="22"/>
          <w:szCs w:val="22"/>
          <w:lang w:val="ru-RU" w:eastAsia="ro-MD"/>
        </w:rPr>
      </w:pPr>
      <w:r w:rsidRPr="00CE54B2">
        <w:rPr>
          <w:b/>
          <w:bCs/>
          <w:color w:val="000000" w:themeColor="text1"/>
          <w:sz w:val="22"/>
          <w:szCs w:val="22"/>
          <w:lang w:val="ru-RU" w:eastAsia="ro-MD"/>
        </w:rPr>
        <w:t>116</w:t>
      </w:r>
      <w:r w:rsidRPr="00CE54B2">
        <w:rPr>
          <w:b/>
          <w:bCs/>
          <w:color w:val="000000" w:themeColor="text1"/>
          <w:sz w:val="22"/>
          <w:szCs w:val="22"/>
          <w:vertAlign w:val="superscript"/>
          <w:lang w:val="ru-RU" w:eastAsia="ro-MD"/>
        </w:rPr>
        <w:t>5</w:t>
      </w:r>
      <w:r w:rsidRPr="00CE54B2">
        <w:rPr>
          <w:b/>
          <w:bCs/>
          <w:color w:val="000000" w:themeColor="text1"/>
          <w:sz w:val="22"/>
          <w:szCs w:val="22"/>
          <w:lang w:val="ru-RU" w:eastAsia="ro-MD"/>
        </w:rPr>
        <w:t>.</w:t>
      </w:r>
      <w:r w:rsidRPr="00CE54B2">
        <w:rPr>
          <w:color w:val="000000" w:themeColor="text1"/>
          <w:sz w:val="22"/>
          <w:szCs w:val="22"/>
          <w:lang w:val="ru-RU" w:eastAsia="ro-MD"/>
        </w:rPr>
        <w:t xml:space="preserve"> </w:t>
      </w:r>
      <w:r w:rsidR="00CE54B2" w:rsidRPr="00CE54B2">
        <w:rPr>
          <w:color w:val="000000" w:themeColor="text1"/>
          <w:sz w:val="22"/>
          <w:szCs w:val="22"/>
          <w:lang w:val="ru-RU" w:eastAsia="ro-MD"/>
        </w:rPr>
        <w:t xml:space="preserve">Для любой необеспеченной части стоимости </w:t>
      </w:r>
      <w:r w:rsidR="00CE54B2" w:rsidRPr="005C7F1F">
        <w:rPr>
          <w:color w:val="000000" w:themeColor="text1"/>
          <w:sz w:val="22"/>
          <w:szCs w:val="22"/>
          <w:lang w:val="ru-RU" w:eastAsia="ro-MD"/>
        </w:rPr>
        <w:t xml:space="preserve">подверженности </w:t>
      </w:r>
      <w:r w:rsidR="00CE54B2" w:rsidRPr="00CE54B2">
        <w:rPr>
          <w:color w:val="000000" w:themeColor="text1"/>
          <w:sz w:val="22"/>
          <w:szCs w:val="22"/>
          <w:lang w:val="ru-RU" w:eastAsia="ro-MD"/>
        </w:rPr>
        <w:t>(E) банки должны использовать коэффициент риска и ожидаемые убытки, соответствующие базово</w:t>
      </w:r>
      <w:r w:rsidR="00CE54B2">
        <w:rPr>
          <w:color w:val="000000" w:themeColor="text1"/>
          <w:sz w:val="22"/>
          <w:szCs w:val="22"/>
          <w:lang w:val="ru-RU" w:eastAsia="ro-MD"/>
        </w:rPr>
        <w:t xml:space="preserve">й </w:t>
      </w:r>
      <w:r w:rsidR="00CE54B2" w:rsidRPr="005C7F1F">
        <w:rPr>
          <w:color w:val="000000" w:themeColor="text1"/>
          <w:sz w:val="22"/>
          <w:szCs w:val="22"/>
          <w:lang w:val="ru-RU" w:eastAsia="ro-MD"/>
        </w:rPr>
        <w:t>подверженности</w:t>
      </w:r>
      <w:r w:rsidR="00CE54B2" w:rsidRPr="00CE54B2">
        <w:rPr>
          <w:color w:val="000000" w:themeColor="text1"/>
          <w:sz w:val="22"/>
          <w:szCs w:val="22"/>
          <w:lang w:val="ru-RU" w:eastAsia="ro-MD"/>
        </w:rPr>
        <w:t xml:space="preserve">. Для расчета, предусмотренного в нормативном акте Национального банка Молдовы об </w:t>
      </w:r>
      <w:r w:rsidR="00CE54B2">
        <w:rPr>
          <w:color w:val="000000" w:themeColor="text1"/>
          <w:sz w:val="22"/>
          <w:szCs w:val="22"/>
          <w:lang w:val="ru-RU" w:eastAsia="ro-MD"/>
        </w:rPr>
        <w:t>отношении к</w:t>
      </w:r>
      <w:r w:rsidR="00CE54B2" w:rsidRPr="00CE54B2">
        <w:rPr>
          <w:color w:val="000000" w:themeColor="text1"/>
          <w:sz w:val="22"/>
          <w:szCs w:val="22"/>
          <w:lang w:val="ru-RU" w:eastAsia="ro-MD"/>
        </w:rPr>
        <w:t xml:space="preserve"> кредитно</w:t>
      </w:r>
      <w:r w:rsidR="00CE54B2">
        <w:rPr>
          <w:color w:val="000000" w:themeColor="text1"/>
          <w:sz w:val="22"/>
          <w:szCs w:val="22"/>
          <w:lang w:val="ru-RU" w:eastAsia="ro-MD"/>
        </w:rPr>
        <w:t>му</w:t>
      </w:r>
      <w:r w:rsidR="00CE54B2" w:rsidRPr="00CE54B2">
        <w:rPr>
          <w:color w:val="000000" w:themeColor="text1"/>
          <w:sz w:val="22"/>
          <w:szCs w:val="22"/>
          <w:lang w:val="ru-RU" w:eastAsia="ro-MD"/>
        </w:rPr>
        <w:t xml:space="preserve"> риск</w:t>
      </w:r>
      <w:r w:rsidR="00CE54B2">
        <w:rPr>
          <w:color w:val="000000" w:themeColor="text1"/>
          <w:sz w:val="22"/>
          <w:szCs w:val="22"/>
          <w:lang w:val="ru-RU" w:eastAsia="ro-MD"/>
        </w:rPr>
        <w:t>у</w:t>
      </w:r>
      <w:r w:rsidR="00CE54B2" w:rsidRPr="00CE54B2">
        <w:rPr>
          <w:color w:val="000000" w:themeColor="text1"/>
          <w:sz w:val="22"/>
          <w:szCs w:val="22"/>
          <w:lang w:val="ru-RU" w:eastAsia="ro-MD"/>
        </w:rPr>
        <w:t xml:space="preserve"> для банков в рамках подхода, основанного на внутренних рейтингах, банки должны отнести к необеспеченной части стоимости </w:t>
      </w:r>
      <w:r w:rsidR="00EE10AB" w:rsidRPr="005C7F1F">
        <w:rPr>
          <w:color w:val="000000" w:themeColor="text1"/>
          <w:sz w:val="22"/>
          <w:szCs w:val="22"/>
          <w:lang w:val="ru-RU" w:eastAsia="ro-MD"/>
        </w:rPr>
        <w:t xml:space="preserve">подверженности </w:t>
      </w:r>
      <w:r w:rsidR="00CE54B2" w:rsidRPr="00CE54B2">
        <w:rPr>
          <w:color w:val="000000" w:themeColor="text1"/>
          <w:sz w:val="22"/>
          <w:szCs w:val="22"/>
          <w:lang w:val="ru-RU" w:eastAsia="ro-MD"/>
        </w:rPr>
        <w:t xml:space="preserve">любую общую или специфическую корректировку кредитного риска или любую дополнительную корректировку стоимости в соответствии с </w:t>
      </w:r>
      <w:r w:rsidR="00EE10AB">
        <w:rPr>
          <w:color w:val="000000" w:themeColor="text1"/>
          <w:sz w:val="22"/>
          <w:szCs w:val="22"/>
          <w:lang w:val="ru-RU" w:eastAsia="ro-MD"/>
        </w:rPr>
        <w:t xml:space="preserve">Регламентом </w:t>
      </w:r>
      <w:r w:rsidR="00CE54B2" w:rsidRPr="00CE54B2">
        <w:rPr>
          <w:color w:val="000000" w:themeColor="text1"/>
          <w:sz w:val="22"/>
          <w:szCs w:val="22"/>
          <w:lang w:val="ru-RU" w:eastAsia="ro-MD"/>
        </w:rPr>
        <w:t xml:space="preserve">о собственных средствах и требованиях к капиталу банков, утвержденную </w:t>
      </w:r>
      <w:r w:rsidR="00EE10AB">
        <w:rPr>
          <w:color w:val="000000" w:themeColor="text1"/>
          <w:sz w:val="22"/>
          <w:szCs w:val="22"/>
          <w:lang w:val="ru-RU" w:eastAsia="ro-MD"/>
        </w:rPr>
        <w:t>Постановлени</w:t>
      </w:r>
      <w:r w:rsidR="00CE54B2" w:rsidRPr="00CE54B2">
        <w:rPr>
          <w:color w:val="000000" w:themeColor="text1"/>
          <w:sz w:val="22"/>
          <w:szCs w:val="22"/>
          <w:lang w:val="ru-RU" w:eastAsia="ro-MD"/>
        </w:rPr>
        <w:t xml:space="preserve">ем Исполнительного </w:t>
      </w:r>
      <w:r w:rsidR="00EE10AB">
        <w:rPr>
          <w:color w:val="000000" w:themeColor="text1"/>
          <w:sz w:val="22"/>
          <w:szCs w:val="22"/>
          <w:lang w:val="ru-RU" w:eastAsia="ro-MD"/>
        </w:rPr>
        <w:t>комитета</w:t>
      </w:r>
      <w:r w:rsidR="00CE54B2" w:rsidRPr="00CE54B2">
        <w:rPr>
          <w:color w:val="000000" w:themeColor="text1"/>
          <w:sz w:val="22"/>
          <w:szCs w:val="22"/>
          <w:lang w:val="ru-RU" w:eastAsia="ro-MD"/>
        </w:rPr>
        <w:t xml:space="preserve"> Национального банка Молдовы № 109/2018 (далее – </w:t>
      </w:r>
      <w:r w:rsidR="00EE10AB">
        <w:rPr>
          <w:color w:val="000000" w:themeColor="text1"/>
          <w:sz w:val="22"/>
          <w:szCs w:val="22"/>
          <w:lang w:val="ru-RU" w:eastAsia="ro-MD"/>
        </w:rPr>
        <w:t>Регламент</w:t>
      </w:r>
      <w:r w:rsidR="00CE54B2" w:rsidRPr="00CE54B2">
        <w:rPr>
          <w:color w:val="000000" w:themeColor="text1"/>
          <w:sz w:val="22"/>
          <w:szCs w:val="22"/>
          <w:lang w:val="ru-RU" w:eastAsia="ro-MD"/>
        </w:rPr>
        <w:t xml:space="preserve"> 109/2018), касающуюся деятельности банка, не связанной с торговым портфелем, или любое другое уменьшение собственных средств, связанное с </w:t>
      </w:r>
      <w:r w:rsidR="004949FF" w:rsidRPr="005C7F1F">
        <w:rPr>
          <w:color w:val="000000" w:themeColor="text1"/>
          <w:sz w:val="22"/>
          <w:szCs w:val="22"/>
          <w:lang w:val="ru-RU" w:eastAsia="ro-MD"/>
        </w:rPr>
        <w:t>подверженност</w:t>
      </w:r>
      <w:r w:rsidR="004949FF">
        <w:rPr>
          <w:color w:val="000000" w:themeColor="text1"/>
          <w:sz w:val="22"/>
          <w:szCs w:val="22"/>
          <w:lang w:val="ru-RU" w:eastAsia="ro-MD"/>
        </w:rPr>
        <w:t>ью</w:t>
      </w:r>
      <w:r w:rsidR="00CE54B2" w:rsidRPr="00CE54B2">
        <w:rPr>
          <w:color w:val="000000" w:themeColor="text1"/>
          <w:sz w:val="22"/>
          <w:szCs w:val="22"/>
          <w:lang w:val="ru-RU" w:eastAsia="ro-MD"/>
        </w:rPr>
        <w:t>, за исключением вычетов в отношении применимой суммы недостаточного покрытия не</w:t>
      </w:r>
      <w:r w:rsidR="004949FF">
        <w:rPr>
          <w:color w:val="000000" w:themeColor="text1"/>
          <w:sz w:val="22"/>
          <w:szCs w:val="22"/>
          <w:lang w:val="ru-RU" w:eastAsia="ro-MD"/>
        </w:rPr>
        <w:t xml:space="preserve">благоприятных </w:t>
      </w:r>
      <w:r w:rsidR="004949FF" w:rsidRPr="005C7F1F">
        <w:rPr>
          <w:color w:val="000000" w:themeColor="text1"/>
          <w:sz w:val="22"/>
          <w:szCs w:val="22"/>
          <w:lang w:val="ru-RU" w:eastAsia="ro-MD"/>
        </w:rPr>
        <w:t>подверженност</w:t>
      </w:r>
      <w:r w:rsidR="004949FF">
        <w:rPr>
          <w:color w:val="000000" w:themeColor="text1"/>
          <w:sz w:val="22"/>
          <w:szCs w:val="22"/>
          <w:lang w:val="ru-RU" w:eastAsia="ro-MD"/>
        </w:rPr>
        <w:t>ей</w:t>
      </w:r>
      <w:r w:rsidR="00CE54B2" w:rsidRPr="00CE54B2">
        <w:rPr>
          <w:color w:val="000000" w:themeColor="text1"/>
          <w:sz w:val="22"/>
          <w:szCs w:val="22"/>
          <w:lang w:val="ru-RU" w:eastAsia="ro-MD"/>
        </w:rPr>
        <w:t xml:space="preserve">, произведенных в соответствии с </w:t>
      </w:r>
      <w:r w:rsidR="004949FF">
        <w:rPr>
          <w:color w:val="000000" w:themeColor="text1"/>
          <w:sz w:val="22"/>
          <w:szCs w:val="22"/>
          <w:lang w:val="ru-RU" w:eastAsia="ro-MD"/>
        </w:rPr>
        <w:t>Регламентом</w:t>
      </w:r>
      <w:r w:rsidR="00CE54B2" w:rsidRPr="00CE54B2">
        <w:rPr>
          <w:color w:val="000000" w:themeColor="text1"/>
          <w:sz w:val="22"/>
          <w:szCs w:val="22"/>
          <w:lang w:val="ru-RU" w:eastAsia="ro-MD"/>
        </w:rPr>
        <w:t xml:space="preserve"> № 109/2018.</w:t>
      </w:r>
      <w:r w:rsidR="00CE54B2">
        <w:rPr>
          <w:color w:val="000000" w:themeColor="text1"/>
          <w:sz w:val="22"/>
          <w:szCs w:val="22"/>
          <w:lang w:val="ru-RU" w:eastAsia="ro-MD"/>
        </w:rPr>
        <w:t xml:space="preserve"> </w:t>
      </w:r>
    </w:p>
    <w:p w14:paraId="648D5909" w14:textId="77777777" w:rsidR="00CE54B2" w:rsidRDefault="00CE54B2" w:rsidP="00A22BC1">
      <w:pPr>
        <w:jc w:val="both"/>
        <w:rPr>
          <w:color w:val="000000" w:themeColor="text1"/>
          <w:sz w:val="22"/>
          <w:szCs w:val="22"/>
          <w:lang w:val="ru-RU" w:eastAsia="ro-MD"/>
        </w:rPr>
      </w:pPr>
    </w:p>
    <w:p w14:paraId="2842CFEB" w14:textId="774EA9A6" w:rsidR="009A79F2" w:rsidRPr="004949FF" w:rsidRDefault="004949FF" w:rsidP="009A79F2">
      <w:pPr>
        <w:jc w:val="center"/>
        <w:rPr>
          <w:color w:val="000000" w:themeColor="text1"/>
          <w:sz w:val="22"/>
          <w:szCs w:val="22"/>
          <w:lang w:val="ru-RU" w:eastAsia="ro-MD"/>
        </w:rPr>
      </w:pPr>
      <w:r>
        <w:rPr>
          <w:b/>
          <w:bCs/>
          <w:i/>
          <w:iCs/>
          <w:color w:val="000000" w:themeColor="text1"/>
          <w:sz w:val="22"/>
          <w:szCs w:val="22"/>
          <w:lang w:val="ru-RU" w:eastAsia="ro-MD"/>
        </w:rPr>
        <w:t>Часть</w:t>
      </w:r>
      <w:r w:rsidR="009A79F2" w:rsidRPr="00884D1F">
        <w:rPr>
          <w:b/>
          <w:bCs/>
          <w:i/>
          <w:iCs/>
          <w:color w:val="000000" w:themeColor="text1"/>
          <w:sz w:val="22"/>
          <w:szCs w:val="22"/>
          <w:lang w:val="ro-RO" w:eastAsia="ro-MD"/>
        </w:rPr>
        <w:t xml:space="preserve"> 2</w:t>
      </w:r>
      <w:r w:rsidR="009A79F2" w:rsidRPr="00884D1F">
        <w:rPr>
          <w:b/>
          <w:bCs/>
          <w:i/>
          <w:iCs/>
          <w:color w:val="000000" w:themeColor="text1"/>
          <w:sz w:val="22"/>
          <w:szCs w:val="22"/>
          <w:vertAlign w:val="superscript"/>
          <w:lang w:val="ro-RO" w:eastAsia="ro-MD"/>
        </w:rPr>
        <w:t>2</w:t>
      </w:r>
    </w:p>
    <w:p w14:paraId="7A002F56" w14:textId="13E946D2" w:rsidR="009A79F2" w:rsidRPr="00424601" w:rsidRDefault="00424601" w:rsidP="00424601">
      <w:pPr>
        <w:ind w:firstLine="567"/>
        <w:jc w:val="center"/>
        <w:rPr>
          <w:color w:val="000000" w:themeColor="text1"/>
          <w:sz w:val="22"/>
          <w:szCs w:val="22"/>
          <w:lang w:val="ru-MD" w:eastAsia="ro-MD"/>
        </w:rPr>
      </w:pPr>
      <w:r w:rsidRPr="00424601">
        <w:rPr>
          <w:b/>
          <w:bCs/>
          <w:i/>
          <w:iCs/>
          <w:color w:val="000000" w:themeColor="text1"/>
          <w:sz w:val="22"/>
          <w:szCs w:val="22"/>
          <w:lang w:val="ru-MD" w:eastAsia="ro-MD"/>
        </w:rPr>
        <w:t>Расчет взвешенных по риску сумм подверженностей и ожидаемых сумм убытков по методу замещения, когда гарантированная подверженность рассматривается в рамках подхода IRB без использования собственных оценок LGD, а сопоставимая прямая подверженность перед поставщиком защиты рассматривается в рамках подхода IRB</w:t>
      </w:r>
    </w:p>
    <w:p w14:paraId="7424E595" w14:textId="35D046B8" w:rsidR="009A79F2" w:rsidRPr="00E32469" w:rsidRDefault="009A79F2" w:rsidP="00D87955">
      <w:pPr>
        <w:jc w:val="both"/>
        <w:rPr>
          <w:color w:val="000000" w:themeColor="text1"/>
          <w:sz w:val="22"/>
          <w:szCs w:val="22"/>
          <w:lang w:val="ru-RU" w:eastAsia="ro-MD"/>
        </w:rPr>
      </w:pPr>
      <w:r w:rsidRPr="00E32469">
        <w:rPr>
          <w:b/>
          <w:bCs/>
          <w:color w:val="000000" w:themeColor="text1"/>
          <w:sz w:val="22"/>
          <w:szCs w:val="22"/>
          <w:lang w:val="ru-RU" w:eastAsia="ro-MD"/>
        </w:rPr>
        <w:t>116</w:t>
      </w:r>
      <w:r w:rsidRPr="00E32469">
        <w:rPr>
          <w:b/>
          <w:bCs/>
          <w:color w:val="000000" w:themeColor="text1"/>
          <w:sz w:val="22"/>
          <w:szCs w:val="22"/>
          <w:vertAlign w:val="superscript"/>
          <w:lang w:val="ru-RU" w:eastAsia="ro-MD"/>
        </w:rPr>
        <w:t>6</w:t>
      </w:r>
      <w:r w:rsidRPr="00E32469">
        <w:rPr>
          <w:b/>
          <w:bCs/>
          <w:color w:val="000000" w:themeColor="text1"/>
          <w:sz w:val="22"/>
          <w:szCs w:val="22"/>
          <w:lang w:val="ru-RU" w:eastAsia="ro-MD"/>
        </w:rPr>
        <w:t>.</w:t>
      </w:r>
      <w:r w:rsidRPr="00E32469">
        <w:rPr>
          <w:color w:val="000000" w:themeColor="text1"/>
          <w:sz w:val="22"/>
          <w:szCs w:val="22"/>
          <w:lang w:val="ru-RU" w:eastAsia="ro-MD"/>
        </w:rPr>
        <w:t xml:space="preserve"> </w:t>
      </w:r>
      <w:r w:rsidR="009B4C8B" w:rsidRPr="00E32469">
        <w:rPr>
          <w:color w:val="000000" w:themeColor="text1"/>
          <w:sz w:val="22"/>
          <w:szCs w:val="22"/>
          <w:lang w:val="ru-RU" w:eastAsia="ro-MD"/>
        </w:rPr>
        <w:t xml:space="preserve">В случае подверженности с </w:t>
      </w:r>
      <w:proofErr w:type="spellStart"/>
      <w:r w:rsidR="009B4C8B" w:rsidRPr="00E32469">
        <w:rPr>
          <w:color w:val="000000" w:themeColor="text1"/>
          <w:sz w:val="22"/>
          <w:szCs w:val="22"/>
          <w:lang w:val="ru-RU" w:eastAsia="ro-MD"/>
        </w:rPr>
        <w:t>нефинансированной</w:t>
      </w:r>
      <w:proofErr w:type="spellEnd"/>
      <w:r w:rsidR="009B4C8B" w:rsidRPr="00E32469">
        <w:rPr>
          <w:color w:val="000000" w:themeColor="text1"/>
          <w:sz w:val="22"/>
          <w:szCs w:val="22"/>
          <w:lang w:val="ru-RU" w:eastAsia="ro-MD"/>
        </w:rPr>
        <w:t xml:space="preserve"> защитой кредита, для которой банк применяет подход IRB, но без использования собственных оценок LGD, и где сопоставимые прямые подверженности перед поставщиком обеспечения рассматриваются в соответствии с подходом IRB, изложенным в нормативном акте Национального банка Молдовы об </w:t>
      </w:r>
      <w:r w:rsidR="00E32469" w:rsidRPr="00E32469">
        <w:rPr>
          <w:color w:val="000000" w:themeColor="text1"/>
          <w:sz w:val="22"/>
          <w:szCs w:val="22"/>
          <w:lang w:val="ru-RU" w:eastAsia="ro-MD"/>
        </w:rPr>
        <w:t xml:space="preserve">отношении к кредитному риску </w:t>
      </w:r>
      <w:r w:rsidR="009B4C8B" w:rsidRPr="00E32469">
        <w:rPr>
          <w:color w:val="000000" w:themeColor="text1"/>
          <w:sz w:val="22"/>
          <w:szCs w:val="22"/>
          <w:lang w:val="ru-RU" w:eastAsia="ro-MD"/>
        </w:rPr>
        <w:t xml:space="preserve">для банков в рамках подхода, основанного на внутренних рейтинговых моделях, банк определяет обеспеченную часть </w:t>
      </w:r>
      <w:r w:rsidR="00E32469" w:rsidRPr="00E32469">
        <w:rPr>
          <w:color w:val="000000" w:themeColor="text1"/>
          <w:sz w:val="22"/>
          <w:szCs w:val="22"/>
          <w:lang w:val="ru-RU" w:eastAsia="ro-MD"/>
        </w:rPr>
        <w:t xml:space="preserve">подверженности </w:t>
      </w:r>
      <w:r w:rsidR="009B4C8B" w:rsidRPr="00E32469">
        <w:rPr>
          <w:color w:val="000000" w:themeColor="text1"/>
          <w:sz w:val="22"/>
          <w:szCs w:val="22"/>
          <w:lang w:val="ru-RU" w:eastAsia="ro-MD"/>
        </w:rPr>
        <w:t xml:space="preserve">как наименьшее из значений стоимости </w:t>
      </w:r>
      <w:r w:rsidR="00E32469" w:rsidRPr="00E32469">
        <w:rPr>
          <w:color w:val="000000" w:themeColor="text1"/>
          <w:sz w:val="22"/>
          <w:szCs w:val="22"/>
          <w:lang w:val="ru-RU" w:eastAsia="ro-MD"/>
        </w:rPr>
        <w:t xml:space="preserve">подверженности </w:t>
      </w:r>
      <w:r w:rsidR="009B4C8B" w:rsidRPr="00E32469">
        <w:rPr>
          <w:color w:val="000000" w:themeColor="text1"/>
          <w:sz w:val="22"/>
          <w:szCs w:val="22"/>
          <w:lang w:val="ru-RU" w:eastAsia="ro-MD"/>
        </w:rPr>
        <w:t xml:space="preserve">(E) и скорректированной стоимости </w:t>
      </w:r>
      <w:proofErr w:type="spellStart"/>
      <w:r w:rsidR="00E32469" w:rsidRPr="00E32469">
        <w:rPr>
          <w:color w:val="000000" w:themeColor="text1"/>
          <w:sz w:val="22"/>
          <w:szCs w:val="22"/>
          <w:lang w:val="ru-RU" w:eastAsia="ro-MD"/>
        </w:rPr>
        <w:t>нефинансированной</w:t>
      </w:r>
      <w:proofErr w:type="spellEnd"/>
      <w:r w:rsidR="00E32469" w:rsidRPr="00E32469">
        <w:rPr>
          <w:color w:val="000000" w:themeColor="text1"/>
          <w:sz w:val="22"/>
          <w:szCs w:val="22"/>
          <w:lang w:val="ru-RU" w:eastAsia="ro-MD"/>
        </w:rPr>
        <w:t xml:space="preserve"> защитой кредита</w:t>
      </w:r>
      <w:r w:rsidRPr="00E32469">
        <w:rPr>
          <w:color w:val="000000" w:themeColor="text1"/>
          <w:sz w:val="22"/>
          <w:szCs w:val="22"/>
          <w:lang w:val="ru-RU" w:eastAsia="ro-MD"/>
        </w:rPr>
        <w:t xml:space="preserve"> (G</w:t>
      </w:r>
      <w:r w:rsidRPr="00E32469">
        <w:rPr>
          <w:color w:val="000000" w:themeColor="text1"/>
          <w:sz w:val="22"/>
          <w:szCs w:val="22"/>
          <w:vertAlign w:val="subscript"/>
          <w:lang w:val="ru-RU" w:eastAsia="ro-MD"/>
        </w:rPr>
        <w:t>A</w:t>
      </w:r>
      <w:r w:rsidRPr="00E32469">
        <w:rPr>
          <w:color w:val="000000" w:themeColor="text1"/>
          <w:sz w:val="22"/>
          <w:szCs w:val="22"/>
          <w:lang w:val="ru-RU" w:eastAsia="ro-MD"/>
        </w:rPr>
        <w:t>).</w:t>
      </w:r>
    </w:p>
    <w:p w14:paraId="668E7CB9" w14:textId="24EFD934" w:rsidR="00E505C5" w:rsidRPr="00442E67" w:rsidRDefault="009A79F2" w:rsidP="009A79F2">
      <w:pPr>
        <w:jc w:val="both"/>
        <w:rPr>
          <w:color w:val="000000" w:themeColor="text1"/>
          <w:sz w:val="22"/>
          <w:szCs w:val="22"/>
          <w:lang w:val="ru-RU" w:eastAsia="ro-MD"/>
        </w:rPr>
      </w:pPr>
      <w:r w:rsidRPr="00884D1F">
        <w:rPr>
          <w:b/>
          <w:bCs/>
          <w:color w:val="000000" w:themeColor="text1"/>
          <w:sz w:val="22"/>
          <w:szCs w:val="22"/>
          <w:lang w:val="ro-RO" w:eastAsia="ro-MD"/>
        </w:rPr>
        <w:t>116</w:t>
      </w:r>
      <w:r w:rsidRPr="00884D1F">
        <w:rPr>
          <w:b/>
          <w:bCs/>
          <w:color w:val="000000" w:themeColor="text1"/>
          <w:sz w:val="22"/>
          <w:szCs w:val="22"/>
          <w:vertAlign w:val="superscript"/>
          <w:lang w:val="ro-RO" w:eastAsia="ro-MD"/>
        </w:rPr>
        <w:t>7</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E505C5" w:rsidRPr="00442E67">
        <w:rPr>
          <w:color w:val="000000" w:themeColor="text1"/>
          <w:sz w:val="22"/>
          <w:szCs w:val="22"/>
          <w:lang w:val="ru-RU" w:eastAsia="ro-MD"/>
        </w:rPr>
        <w:t>Банки, применяющие подход, основанный на внутренних рейтингах (IRB), к сопоставимым подверженностям</w:t>
      </w:r>
      <w:r w:rsidR="002F1F27" w:rsidRPr="00442E67">
        <w:rPr>
          <w:color w:val="000000" w:themeColor="text1"/>
          <w:sz w:val="22"/>
          <w:szCs w:val="22"/>
          <w:lang w:val="ru-RU" w:eastAsia="ro-MD"/>
        </w:rPr>
        <w:t xml:space="preserve"> перед поставщиком защиты</w:t>
      </w:r>
      <w:r w:rsidR="00E505C5" w:rsidRPr="00442E67">
        <w:rPr>
          <w:color w:val="000000" w:themeColor="text1"/>
          <w:sz w:val="22"/>
          <w:szCs w:val="22"/>
          <w:lang w:val="ru-RU" w:eastAsia="ro-MD"/>
        </w:rPr>
        <w:t xml:space="preserve">, используя собственные оценки PD, должны рассчитывать взвешенную по риску сумму </w:t>
      </w:r>
      <w:r w:rsidR="00442E67" w:rsidRPr="00442E67">
        <w:rPr>
          <w:color w:val="000000" w:themeColor="text1"/>
          <w:sz w:val="22"/>
          <w:szCs w:val="22"/>
          <w:lang w:val="ru-RU" w:eastAsia="ro-MD"/>
        </w:rPr>
        <w:t>подверженности</w:t>
      </w:r>
      <w:r w:rsidR="00E505C5" w:rsidRPr="00442E67">
        <w:rPr>
          <w:color w:val="000000" w:themeColor="text1"/>
          <w:sz w:val="22"/>
          <w:szCs w:val="22"/>
          <w:lang w:val="ru-RU" w:eastAsia="ro-MD"/>
        </w:rPr>
        <w:t xml:space="preserve"> и ожидаемую сумму убытков для обеспеченной части стоимости </w:t>
      </w:r>
      <w:r w:rsidR="002E3443" w:rsidRPr="00E32469">
        <w:rPr>
          <w:color w:val="000000" w:themeColor="text1"/>
          <w:sz w:val="22"/>
          <w:szCs w:val="22"/>
          <w:lang w:val="ru-RU" w:eastAsia="ro-MD"/>
        </w:rPr>
        <w:t>подверженности</w:t>
      </w:r>
      <w:r w:rsidR="00E505C5" w:rsidRPr="00442E67">
        <w:rPr>
          <w:color w:val="000000" w:themeColor="text1"/>
          <w:sz w:val="22"/>
          <w:szCs w:val="22"/>
          <w:lang w:val="ru-RU" w:eastAsia="ro-MD"/>
        </w:rPr>
        <w:t xml:space="preserve">, используя </w:t>
      </w:r>
      <w:r w:rsidR="00460215" w:rsidRPr="00884D1F">
        <w:rPr>
          <w:color w:val="000000" w:themeColor="text1"/>
          <w:sz w:val="22"/>
          <w:szCs w:val="22"/>
          <w:lang w:val="ro-RO" w:eastAsia="ro-MD"/>
        </w:rPr>
        <w:t>PD</w:t>
      </w:r>
      <w:r w:rsidR="00460215" w:rsidRPr="00442E67">
        <w:rPr>
          <w:color w:val="000000" w:themeColor="text1"/>
          <w:sz w:val="22"/>
          <w:szCs w:val="22"/>
          <w:lang w:val="ru-RU" w:eastAsia="ro-MD"/>
        </w:rPr>
        <w:t xml:space="preserve"> </w:t>
      </w:r>
      <w:r w:rsidR="00460215">
        <w:rPr>
          <w:color w:val="000000" w:themeColor="text1"/>
          <w:sz w:val="22"/>
          <w:szCs w:val="22"/>
          <w:lang w:val="ru-RU" w:eastAsia="ro-MD"/>
        </w:rPr>
        <w:t xml:space="preserve">поставщика защиты и </w:t>
      </w:r>
      <w:r w:rsidR="00E505C5" w:rsidRPr="00442E67">
        <w:rPr>
          <w:color w:val="000000" w:themeColor="text1"/>
          <w:sz w:val="22"/>
          <w:szCs w:val="22"/>
          <w:lang w:val="ru-RU" w:eastAsia="ro-MD"/>
        </w:rPr>
        <w:t>LGD для сопоставимо</w:t>
      </w:r>
      <w:r w:rsidR="00460215">
        <w:rPr>
          <w:color w:val="000000" w:themeColor="text1"/>
          <w:sz w:val="22"/>
          <w:szCs w:val="22"/>
          <w:lang w:val="ru-RU" w:eastAsia="ro-MD"/>
        </w:rPr>
        <w:t>й</w:t>
      </w:r>
      <w:r w:rsidR="00E505C5" w:rsidRPr="00442E67">
        <w:rPr>
          <w:color w:val="000000" w:themeColor="text1"/>
          <w:sz w:val="22"/>
          <w:szCs w:val="22"/>
          <w:lang w:val="ru-RU" w:eastAsia="ro-MD"/>
        </w:rPr>
        <w:t xml:space="preserve"> прямо</w:t>
      </w:r>
      <w:r w:rsidR="00460215">
        <w:rPr>
          <w:color w:val="000000" w:themeColor="text1"/>
          <w:sz w:val="22"/>
          <w:szCs w:val="22"/>
          <w:lang w:val="ru-RU" w:eastAsia="ro-MD"/>
        </w:rPr>
        <w:t xml:space="preserve">й </w:t>
      </w:r>
      <w:r w:rsidR="00460215" w:rsidRPr="00E32469">
        <w:rPr>
          <w:color w:val="000000" w:themeColor="text1"/>
          <w:sz w:val="22"/>
          <w:szCs w:val="22"/>
          <w:lang w:val="ru-RU" w:eastAsia="ro-MD"/>
        </w:rPr>
        <w:t>подверженности</w:t>
      </w:r>
      <w:r w:rsidR="000670EF">
        <w:rPr>
          <w:color w:val="000000" w:themeColor="text1"/>
          <w:sz w:val="22"/>
          <w:szCs w:val="22"/>
          <w:lang w:val="ru-RU" w:eastAsia="ro-MD"/>
        </w:rPr>
        <w:t xml:space="preserve"> перед поставщиком защиты</w:t>
      </w:r>
      <w:r w:rsidR="00E505C5" w:rsidRPr="00442E67">
        <w:rPr>
          <w:color w:val="000000" w:themeColor="text1"/>
          <w:sz w:val="22"/>
          <w:szCs w:val="22"/>
          <w:lang w:val="ru-RU" w:eastAsia="ro-MD"/>
        </w:rPr>
        <w:t xml:space="preserve">, как указано в нормативном акте Национального банка Молдовы об </w:t>
      </w:r>
      <w:r w:rsidR="000670EF" w:rsidRPr="00E32469">
        <w:rPr>
          <w:color w:val="000000" w:themeColor="text1"/>
          <w:sz w:val="22"/>
          <w:szCs w:val="22"/>
          <w:lang w:val="ru-RU" w:eastAsia="ro-MD"/>
        </w:rPr>
        <w:t xml:space="preserve">отношении к кредитному риску </w:t>
      </w:r>
      <w:r w:rsidR="00E505C5" w:rsidRPr="00442E67">
        <w:rPr>
          <w:color w:val="000000" w:themeColor="text1"/>
          <w:sz w:val="22"/>
          <w:szCs w:val="22"/>
          <w:lang w:val="ru-RU" w:eastAsia="ro-MD"/>
        </w:rPr>
        <w:t>для банков в рамках подхода, основанного на внутренних рейтингах, в соответствии с пунктом 116</w:t>
      </w:r>
      <w:r w:rsidR="000670EF">
        <w:rPr>
          <w:color w:val="000000" w:themeColor="text1"/>
          <w:sz w:val="22"/>
          <w:szCs w:val="22"/>
          <w:vertAlign w:val="superscript"/>
          <w:lang w:val="ru-RU" w:eastAsia="ro-MD"/>
        </w:rPr>
        <w:t>8</w:t>
      </w:r>
      <w:r w:rsidR="00E505C5" w:rsidRPr="00442E67">
        <w:rPr>
          <w:color w:val="000000" w:themeColor="text1"/>
          <w:sz w:val="22"/>
          <w:szCs w:val="22"/>
          <w:lang w:val="ru-RU" w:eastAsia="ro-MD"/>
        </w:rPr>
        <w:t xml:space="preserve">. Для субординированных </w:t>
      </w:r>
      <w:r w:rsidR="00AA39EE" w:rsidRPr="00442E67">
        <w:rPr>
          <w:color w:val="000000" w:themeColor="text1"/>
          <w:sz w:val="22"/>
          <w:szCs w:val="22"/>
          <w:lang w:val="ru-RU" w:eastAsia="ro-MD"/>
        </w:rPr>
        <w:t>подверженност</w:t>
      </w:r>
      <w:r w:rsidR="00AA39EE">
        <w:rPr>
          <w:color w:val="000000" w:themeColor="text1"/>
          <w:sz w:val="22"/>
          <w:szCs w:val="22"/>
          <w:lang w:val="ru-RU" w:eastAsia="ro-MD"/>
        </w:rPr>
        <w:t>ей</w:t>
      </w:r>
      <w:r w:rsidR="00E505C5" w:rsidRPr="00442E67">
        <w:rPr>
          <w:color w:val="000000" w:themeColor="text1"/>
          <w:sz w:val="22"/>
          <w:szCs w:val="22"/>
          <w:lang w:val="ru-RU" w:eastAsia="ro-MD"/>
        </w:rPr>
        <w:t xml:space="preserve"> и </w:t>
      </w:r>
      <w:proofErr w:type="spellStart"/>
      <w:r w:rsidR="00E505C5" w:rsidRPr="00442E67">
        <w:rPr>
          <w:color w:val="000000" w:themeColor="text1"/>
          <w:sz w:val="22"/>
          <w:szCs w:val="22"/>
          <w:lang w:val="ru-RU" w:eastAsia="ro-MD"/>
        </w:rPr>
        <w:t>несубординированной</w:t>
      </w:r>
      <w:proofErr w:type="spellEnd"/>
      <w:r w:rsidR="00E505C5" w:rsidRPr="00442E67">
        <w:rPr>
          <w:color w:val="000000" w:themeColor="text1"/>
          <w:sz w:val="22"/>
          <w:szCs w:val="22"/>
          <w:lang w:val="ru-RU" w:eastAsia="ro-MD"/>
        </w:rPr>
        <w:t xml:space="preserve"> </w:t>
      </w:r>
      <w:proofErr w:type="spellStart"/>
      <w:r w:rsidR="00AA39EE" w:rsidRPr="00E32469">
        <w:rPr>
          <w:color w:val="000000" w:themeColor="text1"/>
          <w:sz w:val="22"/>
          <w:szCs w:val="22"/>
          <w:lang w:val="ru-RU" w:eastAsia="ro-MD"/>
        </w:rPr>
        <w:t>нефинансированной</w:t>
      </w:r>
      <w:proofErr w:type="spellEnd"/>
      <w:r w:rsidR="00AA39EE" w:rsidRPr="00E32469">
        <w:rPr>
          <w:color w:val="000000" w:themeColor="text1"/>
          <w:sz w:val="22"/>
          <w:szCs w:val="22"/>
          <w:lang w:val="ru-RU" w:eastAsia="ro-MD"/>
        </w:rPr>
        <w:t xml:space="preserve"> защит</w:t>
      </w:r>
      <w:r w:rsidR="00AA39EE">
        <w:rPr>
          <w:color w:val="000000" w:themeColor="text1"/>
          <w:sz w:val="22"/>
          <w:szCs w:val="22"/>
          <w:lang w:val="ru-RU" w:eastAsia="ro-MD"/>
        </w:rPr>
        <w:t>ы</w:t>
      </w:r>
      <w:r w:rsidR="00AA39EE" w:rsidRPr="00E32469">
        <w:rPr>
          <w:color w:val="000000" w:themeColor="text1"/>
          <w:sz w:val="22"/>
          <w:szCs w:val="22"/>
          <w:lang w:val="ru-RU" w:eastAsia="ro-MD"/>
        </w:rPr>
        <w:t xml:space="preserve"> кредита</w:t>
      </w:r>
      <w:r w:rsidR="00AA39EE" w:rsidRPr="00442E67">
        <w:rPr>
          <w:color w:val="000000" w:themeColor="text1"/>
          <w:sz w:val="22"/>
          <w:szCs w:val="22"/>
          <w:lang w:val="ru-RU" w:eastAsia="ro-MD"/>
        </w:rPr>
        <w:t xml:space="preserve"> </w:t>
      </w:r>
      <w:r w:rsidR="00E505C5" w:rsidRPr="00442E67">
        <w:rPr>
          <w:color w:val="000000" w:themeColor="text1"/>
          <w:sz w:val="22"/>
          <w:szCs w:val="22"/>
          <w:lang w:val="ru-RU" w:eastAsia="ro-MD"/>
        </w:rPr>
        <w:t xml:space="preserve">коэффициент LGD, применяемый банками к обеспеченной части стоимости </w:t>
      </w:r>
      <w:r w:rsidR="002A5BE0" w:rsidRPr="00E32469">
        <w:rPr>
          <w:color w:val="000000" w:themeColor="text1"/>
          <w:sz w:val="22"/>
          <w:szCs w:val="22"/>
          <w:lang w:val="ru-RU" w:eastAsia="ro-MD"/>
        </w:rPr>
        <w:t>подверженности</w:t>
      </w:r>
      <w:r w:rsidR="00E505C5" w:rsidRPr="00442E67">
        <w:rPr>
          <w:color w:val="000000" w:themeColor="text1"/>
          <w:sz w:val="22"/>
          <w:szCs w:val="22"/>
          <w:lang w:val="ru-RU" w:eastAsia="ro-MD"/>
        </w:rPr>
        <w:t>, представляет собой коэффициент</w:t>
      </w:r>
      <w:r w:rsidR="002A5BE0">
        <w:rPr>
          <w:color w:val="000000" w:themeColor="text1"/>
          <w:sz w:val="22"/>
          <w:szCs w:val="22"/>
          <w:lang w:val="ru-RU" w:eastAsia="ro-MD"/>
        </w:rPr>
        <w:t xml:space="preserve"> </w:t>
      </w:r>
      <w:r w:rsidR="002A5BE0" w:rsidRPr="00884D1F">
        <w:rPr>
          <w:color w:val="000000" w:themeColor="text1"/>
          <w:sz w:val="22"/>
          <w:szCs w:val="22"/>
          <w:lang w:val="ro-RO" w:eastAsia="ro-MD"/>
        </w:rPr>
        <w:t>LGD</w:t>
      </w:r>
      <w:r w:rsidR="00E505C5" w:rsidRPr="00442E67">
        <w:rPr>
          <w:color w:val="000000" w:themeColor="text1"/>
          <w:sz w:val="22"/>
          <w:szCs w:val="22"/>
          <w:lang w:val="ru-RU" w:eastAsia="ro-MD"/>
        </w:rPr>
        <w:t xml:space="preserve">, связанный со старшими дебиторскими задолженностями, и банки могут учитывать любую </w:t>
      </w:r>
      <w:r w:rsidR="000D2E31">
        <w:rPr>
          <w:color w:val="000000" w:themeColor="text1"/>
          <w:sz w:val="22"/>
          <w:szCs w:val="22"/>
          <w:lang w:val="ru-RU" w:eastAsia="ro-MD"/>
        </w:rPr>
        <w:t xml:space="preserve">финансируемую </w:t>
      </w:r>
      <w:r w:rsidR="000D2E31" w:rsidRPr="00442E67">
        <w:rPr>
          <w:color w:val="000000" w:themeColor="text1"/>
          <w:sz w:val="22"/>
          <w:szCs w:val="22"/>
          <w:lang w:val="ru-RU" w:eastAsia="ro-MD"/>
        </w:rPr>
        <w:t>кредитную</w:t>
      </w:r>
      <w:r w:rsidR="00E505C5" w:rsidRPr="00442E67">
        <w:rPr>
          <w:color w:val="000000" w:themeColor="text1"/>
          <w:sz w:val="22"/>
          <w:szCs w:val="22"/>
          <w:lang w:val="ru-RU" w:eastAsia="ro-MD"/>
        </w:rPr>
        <w:t xml:space="preserve"> защиту, которая обеспечивает </w:t>
      </w:r>
      <w:proofErr w:type="spellStart"/>
      <w:r w:rsidR="000D2E31" w:rsidRPr="00E32469">
        <w:rPr>
          <w:color w:val="000000" w:themeColor="text1"/>
          <w:sz w:val="22"/>
          <w:szCs w:val="22"/>
          <w:lang w:val="ru-RU" w:eastAsia="ro-MD"/>
        </w:rPr>
        <w:t>нефинансированн</w:t>
      </w:r>
      <w:r w:rsidR="000D2E31">
        <w:rPr>
          <w:color w:val="000000" w:themeColor="text1"/>
          <w:sz w:val="22"/>
          <w:szCs w:val="22"/>
          <w:lang w:val="ru-RU" w:eastAsia="ro-MD"/>
        </w:rPr>
        <w:t>ую</w:t>
      </w:r>
      <w:proofErr w:type="spellEnd"/>
      <w:r w:rsidR="000D2E31" w:rsidRPr="00E32469">
        <w:rPr>
          <w:color w:val="000000" w:themeColor="text1"/>
          <w:sz w:val="22"/>
          <w:szCs w:val="22"/>
          <w:lang w:val="ru-RU" w:eastAsia="ro-MD"/>
        </w:rPr>
        <w:t xml:space="preserve"> защит</w:t>
      </w:r>
      <w:r w:rsidR="000D2E31">
        <w:rPr>
          <w:color w:val="000000" w:themeColor="text1"/>
          <w:sz w:val="22"/>
          <w:szCs w:val="22"/>
          <w:lang w:val="ru-RU" w:eastAsia="ro-MD"/>
        </w:rPr>
        <w:t>у</w:t>
      </w:r>
      <w:r w:rsidR="000D2E31" w:rsidRPr="00E32469">
        <w:rPr>
          <w:color w:val="000000" w:themeColor="text1"/>
          <w:sz w:val="22"/>
          <w:szCs w:val="22"/>
          <w:lang w:val="ru-RU" w:eastAsia="ro-MD"/>
        </w:rPr>
        <w:t xml:space="preserve"> кредита</w:t>
      </w:r>
      <w:r w:rsidR="000D2E31" w:rsidRPr="00442E67">
        <w:rPr>
          <w:color w:val="000000" w:themeColor="text1"/>
          <w:sz w:val="22"/>
          <w:szCs w:val="22"/>
          <w:lang w:val="ru-RU" w:eastAsia="ro-MD"/>
        </w:rPr>
        <w:t xml:space="preserve"> </w:t>
      </w:r>
      <w:r w:rsidR="00E505C5" w:rsidRPr="00442E67">
        <w:rPr>
          <w:color w:val="000000" w:themeColor="text1"/>
          <w:sz w:val="22"/>
          <w:szCs w:val="22"/>
          <w:lang w:val="ru-RU" w:eastAsia="ro-MD"/>
        </w:rPr>
        <w:t>в соответствии с настоящей главой.</w:t>
      </w:r>
      <w:r w:rsidR="000670EF">
        <w:rPr>
          <w:color w:val="000000" w:themeColor="text1"/>
          <w:sz w:val="22"/>
          <w:szCs w:val="22"/>
          <w:lang w:val="ru-RU" w:eastAsia="ro-MD"/>
        </w:rPr>
        <w:t xml:space="preserve"> </w:t>
      </w:r>
    </w:p>
    <w:p w14:paraId="7AFB33BC" w14:textId="3C6AADC8" w:rsidR="00F94F20" w:rsidRPr="003F2580" w:rsidRDefault="002E3443" w:rsidP="00D87955">
      <w:pPr>
        <w:jc w:val="both"/>
        <w:rPr>
          <w:color w:val="000000" w:themeColor="text1"/>
          <w:sz w:val="22"/>
          <w:szCs w:val="22"/>
          <w:lang w:val="ru-RU" w:eastAsia="ro-MD"/>
        </w:rPr>
      </w:pPr>
      <w:r w:rsidRPr="00AA39EE">
        <w:rPr>
          <w:color w:val="000000" w:themeColor="text1"/>
          <w:sz w:val="22"/>
          <w:szCs w:val="22"/>
          <w:lang w:val="ru-RU" w:eastAsia="ro-MD"/>
        </w:rPr>
        <w:t xml:space="preserve"> </w:t>
      </w:r>
      <w:r w:rsidR="009A79F2" w:rsidRPr="003F2580">
        <w:rPr>
          <w:b/>
          <w:bCs/>
          <w:color w:val="000000" w:themeColor="text1"/>
          <w:sz w:val="22"/>
          <w:szCs w:val="22"/>
          <w:lang w:val="ru-RU" w:eastAsia="ro-MD"/>
        </w:rPr>
        <w:t>116</w:t>
      </w:r>
      <w:r w:rsidR="009A79F2" w:rsidRPr="003F2580">
        <w:rPr>
          <w:b/>
          <w:bCs/>
          <w:color w:val="000000" w:themeColor="text1"/>
          <w:sz w:val="22"/>
          <w:szCs w:val="22"/>
          <w:vertAlign w:val="superscript"/>
          <w:lang w:val="ru-RU" w:eastAsia="ro-MD"/>
        </w:rPr>
        <w:t>8</w:t>
      </w:r>
      <w:r w:rsidR="009A79F2" w:rsidRPr="003F2580">
        <w:rPr>
          <w:b/>
          <w:bCs/>
          <w:color w:val="000000" w:themeColor="text1"/>
          <w:sz w:val="22"/>
          <w:szCs w:val="22"/>
          <w:lang w:val="ru-RU" w:eastAsia="ro-MD"/>
        </w:rPr>
        <w:t>.</w:t>
      </w:r>
      <w:r w:rsidR="009A79F2" w:rsidRPr="003F2580">
        <w:rPr>
          <w:color w:val="000000" w:themeColor="text1"/>
          <w:sz w:val="22"/>
          <w:szCs w:val="22"/>
          <w:lang w:val="ru-RU" w:eastAsia="ro-MD"/>
        </w:rPr>
        <w:t xml:space="preserve"> </w:t>
      </w:r>
      <w:r w:rsidR="00F94F20" w:rsidRPr="003F2580">
        <w:rPr>
          <w:color w:val="000000" w:themeColor="text1"/>
          <w:sz w:val="22"/>
          <w:szCs w:val="22"/>
          <w:lang w:val="ru-RU" w:eastAsia="ro-MD"/>
        </w:rPr>
        <w:t>Банки должны рассчитывать коэффициент риска и ожидаемые потери, применимые к обеспеченной части базовой подверженности, используя PD и LGD, указанные в пункте 116</w:t>
      </w:r>
      <w:r w:rsidR="00F94F20" w:rsidRPr="003F2580">
        <w:rPr>
          <w:color w:val="000000" w:themeColor="text1"/>
          <w:sz w:val="22"/>
          <w:szCs w:val="22"/>
          <w:vertAlign w:val="superscript"/>
          <w:lang w:val="ru-RU" w:eastAsia="ro-MD"/>
        </w:rPr>
        <w:t>7</w:t>
      </w:r>
      <w:r w:rsidR="00F94F20" w:rsidRPr="003F2580">
        <w:rPr>
          <w:color w:val="000000" w:themeColor="text1"/>
          <w:sz w:val="22"/>
          <w:szCs w:val="22"/>
          <w:lang w:val="ru-RU" w:eastAsia="ro-MD"/>
        </w:rPr>
        <w:t>, и ту же функцию коэффициента риска, что и для сопоставимо</w:t>
      </w:r>
      <w:r w:rsidR="00CF4497" w:rsidRPr="003F2580">
        <w:rPr>
          <w:color w:val="000000" w:themeColor="text1"/>
          <w:sz w:val="22"/>
          <w:szCs w:val="22"/>
          <w:lang w:val="ru-RU" w:eastAsia="ro-MD"/>
        </w:rPr>
        <w:t>й</w:t>
      </w:r>
      <w:r w:rsidR="00F94F20" w:rsidRPr="003F2580">
        <w:rPr>
          <w:color w:val="000000" w:themeColor="text1"/>
          <w:sz w:val="22"/>
          <w:szCs w:val="22"/>
          <w:lang w:val="ru-RU" w:eastAsia="ro-MD"/>
        </w:rPr>
        <w:t xml:space="preserve"> прямо</w:t>
      </w:r>
      <w:r w:rsidR="00CF4497" w:rsidRPr="003F2580">
        <w:rPr>
          <w:color w:val="000000" w:themeColor="text1"/>
          <w:sz w:val="22"/>
          <w:szCs w:val="22"/>
          <w:lang w:val="ru-RU" w:eastAsia="ro-MD"/>
        </w:rPr>
        <w:t>й</w:t>
      </w:r>
      <w:r w:rsidR="00F94F20" w:rsidRPr="003F2580">
        <w:rPr>
          <w:color w:val="000000" w:themeColor="text1"/>
          <w:sz w:val="22"/>
          <w:szCs w:val="22"/>
          <w:lang w:val="ru-RU" w:eastAsia="ro-MD"/>
        </w:rPr>
        <w:t xml:space="preserve"> </w:t>
      </w:r>
      <w:r w:rsidR="00CF4497" w:rsidRPr="003F2580">
        <w:rPr>
          <w:color w:val="000000" w:themeColor="text1"/>
          <w:sz w:val="22"/>
          <w:szCs w:val="22"/>
          <w:lang w:val="ru-RU" w:eastAsia="ro-MD"/>
        </w:rPr>
        <w:t>подверженности перед поставщиком защиты</w:t>
      </w:r>
      <w:r w:rsidR="00F94F20" w:rsidRPr="003F2580">
        <w:rPr>
          <w:color w:val="000000" w:themeColor="text1"/>
          <w:sz w:val="22"/>
          <w:szCs w:val="22"/>
          <w:lang w:val="ru-RU" w:eastAsia="ro-MD"/>
        </w:rPr>
        <w:t xml:space="preserve">, и, где это применимо, должны использовать срок погашения (M) </w:t>
      </w:r>
      <w:r w:rsidR="00CF4497" w:rsidRPr="003F2580">
        <w:rPr>
          <w:color w:val="000000" w:themeColor="text1"/>
          <w:sz w:val="22"/>
          <w:szCs w:val="22"/>
          <w:lang w:val="ru-RU" w:eastAsia="ro-MD"/>
        </w:rPr>
        <w:t>базовой подверженности</w:t>
      </w:r>
      <w:r w:rsidR="00F94F20" w:rsidRPr="003F2580">
        <w:rPr>
          <w:color w:val="000000" w:themeColor="text1"/>
          <w:sz w:val="22"/>
          <w:szCs w:val="22"/>
          <w:lang w:val="ru-RU" w:eastAsia="ro-MD"/>
        </w:rPr>
        <w:t xml:space="preserve">, </w:t>
      </w:r>
      <w:r w:rsidR="00F94F20" w:rsidRPr="003F2580">
        <w:rPr>
          <w:color w:val="000000" w:themeColor="text1"/>
          <w:sz w:val="22"/>
          <w:szCs w:val="22"/>
          <w:lang w:val="ru-RU" w:eastAsia="ro-MD"/>
        </w:rPr>
        <w:lastRenderedPageBreak/>
        <w:t xml:space="preserve">рассчитанный в соответствии с нормативным актом Национального банка Молдовы об </w:t>
      </w:r>
      <w:r w:rsidR="003F2580" w:rsidRPr="003F2580">
        <w:rPr>
          <w:color w:val="000000" w:themeColor="text1"/>
          <w:sz w:val="22"/>
          <w:szCs w:val="22"/>
          <w:lang w:val="ru-RU" w:eastAsia="ro-MD"/>
        </w:rPr>
        <w:t>отношении к кредитному риску</w:t>
      </w:r>
      <w:r w:rsidR="00F94F20" w:rsidRPr="003F2580">
        <w:rPr>
          <w:color w:val="000000" w:themeColor="text1"/>
          <w:sz w:val="22"/>
          <w:szCs w:val="22"/>
          <w:lang w:val="ru-RU" w:eastAsia="ro-MD"/>
        </w:rPr>
        <w:t xml:space="preserve"> для банков в рамках подхода, основанного на внутренних рейтингах.</w:t>
      </w:r>
    </w:p>
    <w:p w14:paraId="696B191E" w14:textId="2F56B66C" w:rsidR="00E917C3" w:rsidRPr="00E917C3" w:rsidRDefault="009A79F2" w:rsidP="00D87955">
      <w:pPr>
        <w:jc w:val="both"/>
        <w:rPr>
          <w:color w:val="000000" w:themeColor="text1"/>
          <w:sz w:val="22"/>
          <w:szCs w:val="22"/>
          <w:lang w:val="ru-RU" w:eastAsia="ro-MD"/>
        </w:rPr>
      </w:pPr>
      <w:r w:rsidRPr="00E917C3">
        <w:rPr>
          <w:b/>
          <w:bCs/>
          <w:color w:val="000000" w:themeColor="text1"/>
          <w:sz w:val="22"/>
          <w:szCs w:val="22"/>
          <w:lang w:val="ru-RU" w:eastAsia="ro-MD"/>
        </w:rPr>
        <w:t>116</w:t>
      </w:r>
      <w:r w:rsidRPr="00E917C3">
        <w:rPr>
          <w:b/>
          <w:bCs/>
          <w:color w:val="000000" w:themeColor="text1"/>
          <w:sz w:val="22"/>
          <w:szCs w:val="22"/>
          <w:vertAlign w:val="superscript"/>
          <w:lang w:val="ru-RU" w:eastAsia="ro-MD"/>
        </w:rPr>
        <w:t>9</w:t>
      </w:r>
      <w:r w:rsidRPr="00E917C3">
        <w:rPr>
          <w:b/>
          <w:bCs/>
          <w:color w:val="000000" w:themeColor="text1"/>
          <w:sz w:val="22"/>
          <w:szCs w:val="22"/>
          <w:lang w:val="ru-RU" w:eastAsia="ro-MD"/>
        </w:rPr>
        <w:t>.</w:t>
      </w:r>
      <w:r w:rsidRPr="00E917C3">
        <w:rPr>
          <w:color w:val="000000" w:themeColor="text1"/>
          <w:sz w:val="22"/>
          <w:szCs w:val="22"/>
          <w:lang w:val="ru-RU" w:eastAsia="ro-MD"/>
        </w:rPr>
        <w:t xml:space="preserve"> </w:t>
      </w:r>
      <w:r w:rsidR="00E917C3" w:rsidRPr="00E917C3">
        <w:rPr>
          <w:color w:val="000000" w:themeColor="text1"/>
          <w:sz w:val="22"/>
          <w:szCs w:val="22"/>
          <w:lang w:val="ru-RU" w:eastAsia="ro-MD"/>
        </w:rPr>
        <w:t xml:space="preserve">Банки, применяющие подход IRB к сопоставимым прямым </w:t>
      </w:r>
      <w:r w:rsidR="00EB67B5">
        <w:rPr>
          <w:color w:val="000000" w:themeColor="text1"/>
          <w:sz w:val="22"/>
          <w:szCs w:val="22"/>
          <w:lang w:val="ru-RU" w:eastAsia="ro-MD"/>
        </w:rPr>
        <w:t xml:space="preserve">подверженностям </w:t>
      </w:r>
      <w:r w:rsidR="00EB67B5" w:rsidRPr="003F2580">
        <w:rPr>
          <w:color w:val="000000" w:themeColor="text1"/>
          <w:sz w:val="22"/>
          <w:szCs w:val="22"/>
          <w:lang w:val="ru-RU" w:eastAsia="ro-MD"/>
        </w:rPr>
        <w:t>перед поставщиком защиты</w:t>
      </w:r>
      <w:r w:rsidR="00E917C3" w:rsidRPr="00E917C3">
        <w:rPr>
          <w:color w:val="000000" w:themeColor="text1"/>
          <w:sz w:val="22"/>
          <w:szCs w:val="22"/>
          <w:lang w:val="ru-RU" w:eastAsia="ro-MD"/>
        </w:rPr>
        <w:t xml:space="preserve">, используя метод, применимый для определения взвешенной по риску суммы </w:t>
      </w:r>
      <w:r w:rsidR="00A17DD9">
        <w:rPr>
          <w:color w:val="000000" w:themeColor="text1"/>
          <w:sz w:val="22"/>
          <w:szCs w:val="22"/>
          <w:lang w:val="ru-RU" w:eastAsia="ro-MD"/>
        </w:rPr>
        <w:t xml:space="preserve">подверженностей из </w:t>
      </w:r>
      <w:r w:rsidR="00E917C3" w:rsidRPr="00E917C3">
        <w:rPr>
          <w:color w:val="000000" w:themeColor="text1"/>
          <w:sz w:val="22"/>
          <w:szCs w:val="22"/>
          <w:lang w:val="ru-RU" w:eastAsia="ro-MD"/>
        </w:rPr>
        <w:t xml:space="preserve"> специализированного финансирования, предусмотренного нормативным актом Национального банка Молдовы</w:t>
      </w:r>
      <w:r w:rsidR="00A17DD9">
        <w:rPr>
          <w:color w:val="000000" w:themeColor="text1"/>
          <w:sz w:val="22"/>
          <w:szCs w:val="22"/>
          <w:lang w:val="ru-RU" w:eastAsia="ro-MD"/>
        </w:rPr>
        <w:t xml:space="preserve"> об  </w:t>
      </w:r>
      <w:r w:rsidR="00A17DD9" w:rsidRPr="003F2580">
        <w:rPr>
          <w:color w:val="000000" w:themeColor="text1"/>
          <w:sz w:val="22"/>
          <w:szCs w:val="22"/>
          <w:lang w:val="ru-RU" w:eastAsia="ro-MD"/>
        </w:rPr>
        <w:t xml:space="preserve">отношении </w:t>
      </w:r>
      <w:r w:rsidR="000728FD">
        <w:rPr>
          <w:color w:val="000000" w:themeColor="text1"/>
          <w:sz w:val="22"/>
          <w:szCs w:val="22"/>
          <w:lang w:val="ru-RU" w:eastAsia="ro-MD"/>
        </w:rPr>
        <w:t>к кредитному риску в соответствии с подходом</w:t>
      </w:r>
      <w:r w:rsidR="00E917C3" w:rsidRPr="00E917C3">
        <w:rPr>
          <w:color w:val="000000" w:themeColor="text1"/>
          <w:sz w:val="22"/>
          <w:szCs w:val="22"/>
          <w:lang w:val="ru-RU" w:eastAsia="ro-MD"/>
        </w:rPr>
        <w:t xml:space="preserve"> моделей внутренней рейтинговой оценки, должны использовать коэффициент риска и ожидаемые потери, применимые к гарантированной части </w:t>
      </w:r>
      <w:r w:rsidR="00B00723">
        <w:rPr>
          <w:color w:val="000000" w:themeColor="text1"/>
          <w:sz w:val="22"/>
          <w:szCs w:val="22"/>
          <w:lang w:val="ru-RU" w:eastAsia="ro-MD"/>
        </w:rPr>
        <w:t>подверженности</w:t>
      </w:r>
      <w:r w:rsidR="00E917C3" w:rsidRPr="00E917C3">
        <w:rPr>
          <w:color w:val="000000" w:themeColor="text1"/>
          <w:sz w:val="22"/>
          <w:szCs w:val="22"/>
          <w:lang w:val="ru-RU" w:eastAsia="ro-MD"/>
        </w:rPr>
        <w:t xml:space="preserve">, соответствующей </w:t>
      </w:r>
      <w:r w:rsidR="00B00723">
        <w:rPr>
          <w:color w:val="000000" w:themeColor="text1"/>
          <w:sz w:val="22"/>
          <w:szCs w:val="22"/>
          <w:lang w:val="ru-RU" w:eastAsia="ro-MD"/>
        </w:rPr>
        <w:t xml:space="preserve">подверженностям из </w:t>
      </w:r>
      <w:r w:rsidR="00E917C3" w:rsidRPr="00E917C3">
        <w:rPr>
          <w:color w:val="000000" w:themeColor="text1"/>
          <w:sz w:val="22"/>
          <w:szCs w:val="22"/>
          <w:lang w:val="ru-RU" w:eastAsia="ro-MD"/>
        </w:rPr>
        <w:t xml:space="preserve"> специализированного финансирования, предусмотренного указанным нормативным актом.</w:t>
      </w:r>
    </w:p>
    <w:p w14:paraId="045077F6" w14:textId="77777777" w:rsidR="00E917C3" w:rsidRPr="00E917C3" w:rsidRDefault="00E917C3" w:rsidP="00D87955">
      <w:pPr>
        <w:jc w:val="both"/>
        <w:rPr>
          <w:color w:val="000000" w:themeColor="text1"/>
          <w:sz w:val="22"/>
          <w:szCs w:val="22"/>
          <w:lang w:val="ru-RU" w:eastAsia="ro-MD"/>
        </w:rPr>
      </w:pPr>
    </w:p>
    <w:p w14:paraId="4C3B1A19" w14:textId="7E6342CB" w:rsidR="002B3672" w:rsidRPr="00442E67" w:rsidRDefault="009A79F2" w:rsidP="002B3672">
      <w:pPr>
        <w:jc w:val="both"/>
        <w:rPr>
          <w:color w:val="000000" w:themeColor="text1"/>
          <w:sz w:val="22"/>
          <w:szCs w:val="22"/>
          <w:lang w:val="ru-RU" w:eastAsia="ro-MD"/>
        </w:rPr>
      </w:pPr>
      <w:r w:rsidRPr="00751F17">
        <w:rPr>
          <w:b/>
          <w:bCs/>
          <w:color w:val="000000" w:themeColor="text1"/>
          <w:sz w:val="22"/>
          <w:szCs w:val="22"/>
          <w:lang w:val="ru-RU" w:eastAsia="ro-MD"/>
        </w:rPr>
        <w:t>116</w:t>
      </w:r>
      <w:r w:rsidRPr="00751F17">
        <w:rPr>
          <w:b/>
          <w:bCs/>
          <w:color w:val="000000" w:themeColor="text1"/>
          <w:sz w:val="22"/>
          <w:szCs w:val="22"/>
          <w:vertAlign w:val="superscript"/>
          <w:lang w:val="ru-RU" w:eastAsia="ro-MD"/>
        </w:rPr>
        <w:t>10</w:t>
      </w:r>
      <w:r w:rsidRPr="00751F17">
        <w:rPr>
          <w:b/>
          <w:bCs/>
          <w:color w:val="000000" w:themeColor="text1"/>
          <w:sz w:val="22"/>
          <w:szCs w:val="22"/>
          <w:lang w:val="ru-RU" w:eastAsia="ro-MD"/>
        </w:rPr>
        <w:t>.</w:t>
      </w:r>
      <w:r w:rsidRPr="00751F17">
        <w:rPr>
          <w:color w:val="000000" w:themeColor="text1"/>
          <w:sz w:val="22"/>
          <w:szCs w:val="22"/>
          <w:lang w:val="ru-RU" w:eastAsia="ro-MD"/>
        </w:rPr>
        <w:t xml:space="preserve"> </w:t>
      </w:r>
      <w:r w:rsidR="00461D90" w:rsidRPr="00751F17">
        <w:rPr>
          <w:color w:val="000000" w:themeColor="text1"/>
          <w:sz w:val="22"/>
          <w:szCs w:val="22"/>
          <w:lang w:val="ru-RU" w:eastAsia="ro-MD"/>
        </w:rPr>
        <w:t>Несмотря на пункт 116</w:t>
      </w:r>
      <w:r w:rsidR="00461D90" w:rsidRPr="00751F17">
        <w:rPr>
          <w:color w:val="000000" w:themeColor="text1"/>
          <w:sz w:val="22"/>
          <w:szCs w:val="22"/>
          <w:vertAlign w:val="superscript"/>
          <w:lang w:val="ru-RU" w:eastAsia="ro-MD"/>
        </w:rPr>
        <w:t>9</w:t>
      </w:r>
      <w:r w:rsidR="00461D90" w:rsidRPr="00751F17">
        <w:rPr>
          <w:color w:val="000000" w:themeColor="text1"/>
          <w:sz w:val="22"/>
          <w:szCs w:val="22"/>
          <w:lang w:val="ru-RU" w:eastAsia="ro-MD"/>
        </w:rPr>
        <w:t xml:space="preserve">, банки, применяющие подход IRB к обеспеченным подверженностям с использованием метода, применимого к определению взвешенных по риску сумм </w:t>
      </w:r>
      <w:r w:rsidR="00751F17">
        <w:rPr>
          <w:color w:val="000000" w:themeColor="text1"/>
          <w:sz w:val="22"/>
          <w:szCs w:val="22"/>
          <w:lang w:val="ru-RU" w:eastAsia="ro-MD"/>
        </w:rPr>
        <w:t xml:space="preserve">подверженностей из </w:t>
      </w:r>
      <w:r w:rsidR="00461D90" w:rsidRPr="00751F17">
        <w:rPr>
          <w:color w:val="000000" w:themeColor="text1"/>
          <w:sz w:val="22"/>
          <w:szCs w:val="22"/>
          <w:lang w:val="ru-RU" w:eastAsia="ro-MD"/>
        </w:rPr>
        <w:t xml:space="preserve"> специализированного финансирования, установленного в нормативном акте Национального банка Молдовы об </w:t>
      </w:r>
      <w:r w:rsidR="00751F17">
        <w:rPr>
          <w:color w:val="000000" w:themeColor="text1"/>
          <w:sz w:val="22"/>
          <w:szCs w:val="22"/>
          <w:lang w:val="ru-RU" w:eastAsia="ro-MD"/>
        </w:rPr>
        <w:t xml:space="preserve">отношении к </w:t>
      </w:r>
      <w:r w:rsidR="00461D90" w:rsidRPr="00751F17">
        <w:rPr>
          <w:color w:val="000000" w:themeColor="text1"/>
          <w:sz w:val="22"/>
          <w:szCs w:val="22"/>
          <w:lang w:val="ru-RU" w:eastAsia="ro-MD"/>
        </w:rPr>
        <w:t>кредитно</w:t>
      </w:r>
      <w:r w:rsidR="00751F17">
        <w:rPr>
          <w:color w:val="000000" w:themeColor="text1"/>
          <w:sz w:val="22"/>
          <w:szCs w:val="22"/>
          <w:lang w:val="ru-RU" w:eastAsia="ro-MD"/>
        </w:rPr>
        <w:t>му</w:t>
      </w:r>
      <w:r w:rsidR="00461D90" w:rsidRPr="00751F17">
        <w:rPr>
          <w:color w:val="000000" w:themeColor="text1"/>
          <w:sz w:val="22"/>
          <w:szCs w:val="22"/>
          <w:lang w:val="ru-RU" w:eastAsia="ro-MD"/>
        </w:rPr>
        <w:t xml:space="preserve"> риск</w:t>
      </w:r>
      <w:r w:rsidR="00751F17">
        <w:rPr>
          <w:color w:val="000000" w:themeColor="text1"/>
          <w:sz w:val="22"/>
          <w:szCs w:val="22"/>
          <w:lang w:val="ru-RU" w:eastAsia="ro-MD"/>
        </w:rPr>
        <w:t>у</w:t>
      </w:r>
      <w:r w:rsidR="00461D90" w:rsidRPr="00751F17">
        <w:rPr>
          <w:color w:val="000000" w:themeColor="text1"/>
          <w:sz w:val="22"/>
          <w:szCs w:val="22"/>
          <w:lang w:val="ru-RU" w:eastAsia="ro-MD"/>
        </w:rPr>
        <w:t xml:space="preserve"> для банков в рамках подхода, основанного на внутренних рейтингах, должны рассчитывать коэффициент риска и ожидаемый убыток, применимые к обеспеченной части </w:t>
      </w:r>
      <w:r w:rsidR="001B5032">
        <w:rPr>
          <w:color w:val="000000" w:themeColor="text1"/>
          <w:sz w:val="22"/>
          <w:szCs w:val="22"/>
          <w:lang w:val="ru-RU" w:eastAsia="ro-MD"/>
        </w:rPr>
        <w:t>подверженности</w:t>
      </w:r>
      <w:r w:rsidR="00461D90" w:rsidRPr="00751F17">
        <w:rPr>
          <w:color w:val="000000" w:themeColor="text1"/>
          <w:sz w:val="22"/>
          <w:szCs w:val="22"/>
          <w:lang w:val="ru-RU" w:eastAsia="ro-MD"/>
        </w:rPr>
        <w:t>, используя PD и LGD, применимые к сопоставимо</w:t>
      </w:r>
      <w:r w:rsidR="001B5032">
        <w:rPr>
          <w:color w:val="000000" w:themeColor="text1"/>
          <w:sz w:val="22"/>
          <w:szCs w:val="22"/>
          <w:lang w:val="ru-RU" w:eastAsia="ro-MD"/>
        </w:rPr>
        <w:t>й</w:t>
      </w:r>
      <w:r w:rsidR="00461D90" w:rsidRPr="00751F17">
        <w:rPr>
          <w:color w:val="000000" w:themeColor="text1"/>
          <w:sz w:val="22"/>
          <w:szCs w:val="22"/>
          <w:lang w:val="ru-RU" w:eastAsia="ro-MD"/>
        </w:rPr>
        <w:t xml:space="preserve"> прямо</w:t>
      </w:r>
      <w:r w:rsidR="001B5032">
        <w:rPr>
          <w:color w:val="000000" w:themeColor="text1"/>
          <w:sz w:val="22"/>
          <w:szCs w:val="22"/>
          <w:lang w:val="ru-RU" w:eastAsia="ro-MD"/>
        </w:rPr>
        <w:t xml:space="preserve">й </w:t>
      </w:r>
      <w:r w:rsidR="005E6AD6">
        <w:rPr>
          <w:color w:val="000000" w:themeColor="text1"/>
          <w:sz w:val="22"/>
          <w:szCs w:val="22"/>
          <w:lang w:val="ru-RU" w:eastAsia="ro-MD"/>
        </w:rPr>
        <w:t>подверженности</w:t>
      </w:r>
      <w:r w:rsidR="00461D90" w:rsidRPr="00751F17">
        <w:rPr>
          <w:color w:val="000000" w:themeColor="text1"/>
          <w:sz w:val="22"/>
          <w:szCs w:val="22"/>
          <w:lang w:val="ru-RU" w:eastAsia="ro-MD"/>
        </w:rPr>
        <w:t xml:space="preserve"> перед поставщиком защиты, как указано в нормативном акте Национального банка Молдовы </w:t>
      </w:r>
      <w:r w:rsidR="005E6AD6">
        <w:rPr>
          <w:color w:val="000000" w:themeColor="text1"/>
          <w:sz w:val="22"/>
          <w:szCs w:val="22"/>
          <w:lang w:val="ru-RU" w:eastAsia="ro-MD"/>
        </w:rPr>
        <w:t xml:space="preserve">об  </w:t>
      </w:r>
      <w:r w:rsidR="005E6AD6" w:rsidRPr="003F2580">
        <w:rPr>
          <w:color w:val="000000" w:themeColor="text1"/>
          <w:sz w:val="22"/>
          <w:szCs w:val="22"/>
          <w:lang w:val="ru-RU" w:eastAsia="ro-MD"/>
        </w:rPr>
        <w:t>отношении к кредитному риску</w:t>
      </w:r>
      <w:r w:rsidR="00461D90" w:rsidRPr="00751F17">
        <w:rPr>
          <w:color w:val="000000" w:themeColor="text1"/>
          <w:sz w:val="22"/>
          <w:szCs w:val="22"/>
          <w:lang w:val="ru-RU" w:eastAsia="ro-MD"/>
        </w:rPr>
        <w:t xml:space="preserve"> для банков в рамках подхода, основанного на внутренних рейтингах, в соответствии с пунктом 116</w:t>
      </w:r>
      <w:r w:rsidR="005E6AD6">
        <w:rPr>
          <w:color w:val="000000" w:themeColor="text1"/>
          <w:sz w:val="22"/>
          <w:szCs w:val="22"/>
          <w:vertAlign w:val="superscript"/>
          <w:lang w:val="ru-RU" w:eastAsia="ro-MD"/>
        </w:rPr>
        <w:t>8</w:t>
      </w:r>
      <w:r w:rsidR="00461D90" w:rsidRPr="00751F17">
        <w:rPr>
          <w:color w:val="000000" w:themeColor="text1"/>
          <w:sz w:val="22"/>
          <w:szCs w:val="22"/>
          <w:lang w:val="ru-RU" w:eastAsia="ro-MD"/>
        </w:rPr>
        <w:t>, и ту же функцию коэффициента риска, что и для сопоставимо</w:t>
      </w:r>
      <w:r w:rsidR="005E6AD6">
        <w:rPr>
          <w:color w:val="000000" w:themeColor="text1"/>
          <w:sz w:val="22"/>
          <w:szCs w:val="22"/>
          <w:lang w:val="ru-RU" w:eastAsia="ro-MD"/>
        </w:rPr>
        <w:t>й</w:t>
      </w:r>
      <w:r w:rsidR="00461D90" w:rsidRPr="00751F17">
        <w:rPr>
          <w:color w:val="000000" w:themeColor="text1"/>
          <w:sz w:val="22"/>
          <w:szCs w:val="22"/>
          <w:lang w:val="ru-RU" w:eastAsia="ro-MD"/>
        </w:rPr>
        <w:t xml:space="preserve"> </w:t>
      </w:r>
      <w:r w:rsidR="005147F0" w:rsidRPr="00751F17">
        <w:rPr>
          <w:color w:val="000000" w:themeColor="text1"/>
          <w:sz w:val="22"/>
          <w:szCs w:val="22"/>
          <w:lang w:val="ru-RU" w:eastAsia="ro-MD"/>
        </w:rPr>
        <w:t>прямо</w:t>
      </w:r>
      <w:r w:rsidR="005147F0">
        <w:rPr>
          <w:color w:val="000000" w:themeColor="text1"/>
          <w:sz w:val="22"/>
          <w:szCs w:val="22"/>
          <w:lang w:val="ru-RU" w:eastAsia="ro-MD"/>
        </w:rPr>
        <w:t>й подверженности</w:t>
      </w:r>
      <w:r w:rsidR="005147F0" w:rsidRPr="00751F17">
        <w:rPr>
          <w:color w:val="000000" w:themeColor="text1"/>
          <w:sz w:val="22"/>
          <w:szCs w:val="22"/>
          <w:lang w:val="ru-RU" w:eastAsia="ro-MD"/>
        </w:rPr>
        <w:t xml:space="preserve"> перед </w:t>
      </w:r>
      <w:r w:rsidR="00461D90" w:rsidRPr="00751F17">
        <w:rPr>
          <w:color w:val="000000" w:themeColor="text1"/>
          <w:sz w:val="22"/>
          <w:szCs w:val="22"/>
          <w:lang w:val="ru-RU" w:eastAsia="ro-MD"/>
        </w:rPr>
        <w:t>поставщиком защиты, и, где применимо, должны использовать срок погашения (M) базово</w:t>
      </w:r>
      <w:r w:rsidR="005147F0">
        <w:rPr>
          <w:color w:val="000000" w:themeColor="text1"/>
          <w:sz w:val="22"/>
          <w:szCs w:val="22"/>
          <w:lang w:val="ru-RU" w:eastAsia="ro-MD"/>
        </w:rPr>
        <w:t>й подверженности</w:t>
      </w:r>
      <w:r w:rsidR="00461D90" w:rsidRPr="00751F17">
        <w:rPr>
          <w:color w:val="000000" w:themeColor="text1"/>
          <w:sz w:val="22"/>
          <w:szCs w:val="22"/>
          <w:lang w:val="ru-RU" w:eastAsia="ro-MD"/>
        </w:rPr>
        <w:t>, рассчитанный в соответствии с</w:t>
      </w:r>
      <w:r w:rsidR="002B3672">
        <w:rPr>
          <w:color w:val="000000" w:themeColor="text1"/>
          <w:sz w:val="22"/>
          <w:szCs w:val="22"/>
          <w:lang w:val="ru-RU" w:eastAsia="ro-MD"/>
        </w:rPr>
        <w:t xml:space="preserve"> </w:t>
      </w:r>
      <w:r w:rsidR="002B3672" w:rsidRPr="003F2580">
        <w:rPr>
          <w:color w:val="000000" w:themeColor="text1"/>
          <w:sz w:val="22"/>
          <w:szCs w:val="22"/>
          <w:lang w:val="ru-RU" w:eastAsia="ro-MD"/>
        </w:rPr>
        <w:t>нормативным актом Национального банка Молдовы об отношении к кредитному риску для банков в рамках подхода, основанного на внутренних рейтингах</w:t>
      </w:r>
      <w:r w:rsidR="00461D90" w:rsidRPr="00751F17">
        <w:rPr>
          <w:color w:val="000000" w:themeColor="text1"/>
          <w:sz w:val="22"/>
          <w:szCs w:val="22"/>
          <w:lang w:val="ru-RU" w:eastAsia="ro-MD"/>
        </w:rPr>
        <w:t xml:space="preserve">. </w:t>
      </w:r>
      <w:r w:rsidR="002B3672" w:rsidRPr="00442E67">
        <w:rPr>
          <w:color w:val="000000" w:themeColor="text1"/>
          <w:sz w:val="22"/>
          <w:szCs w:val="22"/>
          <w:lang w:val="ru-RU" w:eastAsia="ro-MD"/>
        </w:rPr>
        <w:t>Для субординированных подверженност</w:t>
      </w:r>
      <w:r w:rsidR="002B3672">
        <w:rPr>
          <w:color w:val="000000" w:themeColor="text1"/>
          <w:sz w:val="22"/>
          <w:szCs w:val="22"/>
          <w:lang w:val="ru-RU" w:eastAsia="ro-MD"/>
        </w:rPr>
        <w:t>ей</w:t>
      </w:r>
      <w:r w:rsidR="002B3672" w:rsidRPr="00442E67">
        <w:rPr>
          <w:color w:val="000000" w:themeColor="text1"/>
          <w:sz w:val="22"/>
          <w:szCs w:val="22"/>
          <w:lang w:val="ru-RU" w:eastAsia="ro-MD"/>
        </w:rPr>
        <w:t xml:space="preserve"> и </w:t>
      </w:r>
      <w:proofErr w:type="spellStart"/>
      <w:r w:rsidR="002B3672" w:rsidRPr="00442E67">
        <w:rPr>
          <w:color w:val="000000" w:themeColor="text1"/>
          <w:sz w:val="22"/>
          <w:szCs w:val="22"/>
          <w:lang w:val="ru-RU" w:eastAsia="ro-MD"/>
        </w:rPr>
        <w:t>несубординированной</w:t>
      </w:r>
      <w:proofErr w:type="spellEnd"/>
      <w:r w:rsidR="002B3672" w:rsidRPr="00442E67">
        <w:rPr>
          <w:color w:val="000000" w:themeColor="text1"/>
          <w:sz w:val="22"/>
          <w:szCs w:val="22"/>
          <w:lang w:val="ru-RU" w:eastAsia="ro-MD"/>
        </w:rPr>
        <w:t xml:space="preserve"> </w:t>
      </w:r>
      <w:proofErr w:type="spellStart"/>
      <w:r w:rsidR="002B3672" w:rsidRPr="00E32469">
        <w:rPr>
          <w:color w:val="000000" w:themeColor="text1"/>
          <w:sz w:val="22"/>
          <w:szCs w:val="22"/>
          <w:lang w:val="ru-RU" w:eastAsia="ro-MD"/>
        </w:rPr>
        <w:t>нефинансированной</w:t>
      </w:r>
      <w:proofErr w:type="spellEnd"/>
      <w:r w:rsidR="002B3672" w:rsidRPr="00E32469">
        <w:rPr>
          <w:color w:val="000000" w:themeColor="text1"/>
          <w:sz w:val="22"/>
          <w:szCs w:val="22"/>
          <w:lang w:val="ru-RU" w:eastAsia="ro-MD"/>
        </w:rPr>
        <w:t xml:space="preserve"> защит</w:t>
      </w:r>
      <w:r w:rsidR="002B3672">
        <w:rPr>
          <w:color w:val="000000" w:themeColor="text1"/>
          <w:sz w:val="22"/>
          <w:szCs w:val="22"/>
          <w:lang w:val="ru-RU" w:eastAsia="ro-MD"/>
        </w:rPr>
        <w:t>ы</w:t>
      </w:r>
      <w:r w:rsidR="002B3672" w:rsidRPr="00E32469">
        <w:rPr>
          <w:color w:val="000000" w:themeColor="text1"/>
          <w:sz w:val="22"/>
          <w:szCs w:val="22"/>
          <w:lang w:val="ru-RU" w:eastAsia="ro-MD"/>
        </w:rPr>
        <w:t xml:space="preserve"> кредита</w:t>
      </w:r>
      <w:r w:rsidR="002B3672" w:rsidRPr="00442E67">
        <w:rPr>
          <w:color w:val="000000" w:themeColor="text1"/>
          <w:sz w:val="22"/>
          <w:szCs w:val="22"/>
          <w:lang w:val="ru-RU" w:eastAsia="ro-MD"/>
        </w:rPr>
        <w:t xml:space="preserve"> коэффициент LGD, применяемый банками к обеспеченной части стоимости </w:t>
      </w:r>
      <w:r w:rsidR="002B3672" w:rsidRPr="00E32469">
        <w:rPr>
          <w:color w:val="000000" w:themeColor="text1"/>
          <w:sz w:val="22"/>
          <w:szCs w:val="22"/>
          <w:lang w:val="ru-RU" w:eastAsia="ro-MD"/>
        </w:rPr>
        <w:t>подверженности</w:t>
      </w:r>
      <w:r w:rsidR="002B3672" w:rsidRPr="00442E67">
        <w:rPr>
          <w:color w:val="000000" w:themeColor="text1"/>
          <w:sz w:val="22"/>
          <w:szCs w:val="22"/>
          <w:lang w:val="ru-RU" w:eastAsia="ro-MD"/>
        </w:rPr>
        <w:t>, представляет собой коэффициент</w:t>
      </w:r>
      <w:r w:rsidR="002B3672">
        <w:rPr>
          <w:color w:val="000000" w:themeColor="text1"/>
          <w:sz w:val="22"/>
          <w:szCs w:val="22"/>
          <w:lang w:val="ru-RU" w:eastAsia="ro-MD"/>
        </w:rPr>
        <w:t xml:space="preserve"> </w:t>
      </w:r>
      <w:r w:rsidR="002B3672" w:rsidRPr="00884D1F">
        <w:rPr>
          <w:color w:val="000000" w:themeColor="text1"/>
          <w:sz w:val="22"/>
          <w:szCs w:val="22"/>
          <w:lang w:val="ro-RO" w:eastAsia="ro-MD"/>
        </w:rPr>
        <w:t>LGD</w:t>
      </w:r>
      <w:r w:rsidR="002B3672" w:rsidRPr="00442E67">
        <w:rPr>
          <w:color w:val="000000" w:themeColor="text1"/>
          <w:sz w:val="22"/>
          <w:szCs w:val="22"/>
          <w:lang w:val="ru-RU" w:eastAsia="ro-MD"/>
        </w:rPr>
        <w:t xml:space="preserve">, связанный со старшими дебиторскими задолженностями, и банки могут учитывать любую </w:t>
      </w:r>
      <w:r w:rsidR="002B3672">
        <w:rPr>
          <w:color w:val="000000" w:themeColor="text1"/>
          <w:sz w:val="22"/>
          <w:szCs w:val="22"/>
          <w:lang w:val="ru-RU" w:eastAsia="ro-MD"/>
        </w:rPr>
        <w:t xml:space="preserve">финансируемую </w:t>
      </w:r>
      <w:r w:rsidR="002B3672" w:rsidRPr="00442E67">
        <w:rPr>
          <w:color w:val="000000" w:themeColor="text1"/>
          <w:sz w:val="22"/>
          <w:szCs w:val="22"/>
          <w:lang w:val="ru-RU" w:eastAsia="ro-MD"/>
        </w:rPr>
        <w:t xml:space="preserve">кредитную защиту, которая обеспечивает </w:t>
      </w:r>
      <w:proofErr w:type="spellStart"/>
      <w:r w:rsidR="002B3672" w:rsidRPr="00E32469">
        <w:rPr>
          <w:color w:val="000000" w:themeColor="text1"/>
          <w:sz w:val="22"/>
          <w:szCs w:val="22"/>
          <w:lang w:val="ru-RU" w:eastAsia="ro-MD"/>
        </w:rPr>
        <w:t>нефинансированн</w:t>
      </w:r>
      <w:r w:rsidR="002B3672">
        <w:rPr>
          <w:color w:val="000000" w:themeColor="text1"/>
          <w:sz w:val="22"/>
          <w:szCs w:val="22"/>
          <w:lang w:val="ru-RU" w:eastAsia="ro-MD"/>
        </w:rPr>
        <w:t>ую</w:t>
      </w:r>
      <w:proofErr w:type="spellEnd"/>
      <w:r w:rsidR="002B3672" w:rsidRPr="00E32469">
        <w:rPr>
          <w:color w:val="000000" w:themeColor="text1"/>
          <w:sz w:val="22"/>
          <w:szCs w:val="22"/>
          <w:lang w:val="ru-RU" w:eastAsia="ro-MD"/>
        </w:rPr>
        <w:t xml:space="preserve"> защит</w:t>
      </w:r>
      <w:r w:rsidR="002B3672">
        <w:rPr>
          <w:color w:val="000000" w:themeColor="text1"/>
          <w:sz w:val="22"/>
          <w:szCs w:val="22"/>
          <w:lang w:val="ru-RU" w:eastAsia="ro-MD"/>
        </w:rPr>
        <w:t>у</w:t>
      </w:r>
      <w:r w:rsidR="002B3672" w:rsidRPr="00E32469">
        <w:rPr>
          <w:color w:val="000000" w:themeColor="text1"/>
          <w:sz w:val="22"/>
          <w:szCs w:val="22"/>
          <w:lang w:val="ru-RU" w:eastAsia="ro-MD"/>
        </w:rPr>
        <w:t xml:space="preserve"> кредита</w:t>
      </w:r>
      <w:r w:rsidR="002B3672" w:rsidRPr="00442E67">
        <w:rPr>
          <w:color w:val="000000" w:themeColor="text1"/>
          <w:sz w:val="22"/>
          <w:szCs w:val="22"/>
          <w:lang w:val="ru-RU" w:eastAsia="ro-MD"/>
        </w:rPr>
        <w:t xml:space="preserve"> в соответствии с настоящ</w:t>
      </w:r>
      <w:r w:rsidR="00C93A92">
        <w:rPr>
          <w:color w:val="000000" w:themeColor="text1"/>
          <w:sz w:val="22"/>
          <w:szCs w:val="22"/>
          <w:lang w:val="ru-RU" w:eastAsia="ro-MD"/>
        </w:rPr>
        <w:t>им регламентом</w:t>
      </w:r>
      <w:r w:rsidR="002B3672" w:rsidRPr="00442E67">
        <w:rPr>
          <w:color w:val="000000" w:themeColor="text1"/>
          <w:sz w:val="22"/>
          <w:szCs w:val="22"/>
          <w:lang w:val="ru-RU" w:eastAsia="ro-MD"/>
        </w:rPr>
        <w:t>.</w:t>
      </w:r>
      <w:r w:rsidR="002B3672">
        <w:rPr>
          <w:color w:val="000000" w:themeColor="text1"/>
          <w:sz w:val="22"/>
          <w:szCs w:val="22"/>
          <w:lang w:val="ru-RU" w:eastAsia="ro-MD"/>
        </w:rPr>
        <w:t xml:space="preserve"> </w:t>
      </w:r>
    </w:p>
    <w:p w14:paraId="30BB3B04" w14:textId="10A63CD8" w:rsidR="00B0207E" w:rsidRPr="00CE54B2" w:rsidRDefault="009A79F2" w:rsidP="00B0207E">
      <w:pPr>
        <w:jc w:val="both"/>
        <w:rPr>
          <w:color w:val="000000" w:themeColor="text1"/>
          <w:sz w:val="22"/>
          <w:szCs w:val="22"/>
          <w:lang w:val="ru-RU" w:eastAsia="ro-MD"/>
        </w:rPr>
      </w:pPr>
      <w:r w:rsidRPr="00884D1F">
        <w:rPr>
          <w:b/>
          <w:bCs/>
          <w:color w:val="000000" w:themeColor="text1"/>
          <w:sz w:val="22"/>
          <w:szCs w:val="22"/>
          <w:lang w:val="ro-RO" w:eastAsia="ro-MD"/>
        </w:rPr>
        <w:t>116</w:t>
      </w:r>
      <w:r w:rsidRPr="00884D1F">
        <w:rPr>
          <w:b/>
          <w:bCs/>
          <w:color w:val="000000" w:themeColor="text1"/>
          <w:sz w:val="22"/>
          <w:szCs w:val="22"/>
          <w:vertAlign w:val="superscript"/>
          <w:lang w:val="ro-RO" w:eastAsia="ro-MD"/>
        </w:rPr>
        <w:t>11</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B0207E" w:rsidRPr="00CE54B2">
        <w:rPr>
          <w:color w:val="000000" w:themeColor="text1"/>
          <w:sz w:val="22"/>
          <w:szCs w:val="22"/>
          <w:lang w:val="ru-RU" w:eastAsia="ro-MD"/>
        </w:rPr>
        <w:t xml:space="preserve">Для любой необеспеченной части стоимости </w:t>
      </w:r>
      <w:r w:rsidR="00B0207E" w:rsidRPr="005C7F1F">
        <w:rPr>
          <w:color w:val="000000" w:themeColor="text1"/>
          <w:sz w:val="22"/>
          <w:szCs w:val="22"/>
          <w:lang w:val="ru-RU" w:eastAsia="ro-MD"/>
        </w:rPr>
        <w:t xml:space="preserve">подверженности </w:t>
      </w:r>
      <w:r w:rsidR="00B0207E" w:rsidRPr="00CE54B2">
        <w:rPr>
          <w:color w:val="000000" w:themeColor="text1"/>
          <w:sz w:val="22"/>
          <w:szCs w:val="22"/>
          <w:lang w:val="ru-RU" w:eastAsia="ro-MD"/>
        </w:rPr>
        <w:t>(E) банки должны использовать коэффициент риска и ожидаемые убытки, соответствующие базово</w:t>
      </w:r>
      <w:r w:rsidR="00B0207E">
        <w:rPr>
          <w:color w:val="000000" w:themeColor="text1"/>
          <w:sz w:val="22"/>
          <w:szCs w:val="22"/>
          <w:lang w:val="ru-RU" w:eastAsia="ro-MD"/>
        </w:rPr>
        <w:t xml:space="preserve">й </w:t>
      </w:r>
      <w:r w:rsidR="00B0207E" w:rsidRPr="005C7F1F">
        <w:rPr>
          <w:color w:val="000000" w:themeColor="text1"/>
          <w:sz w:val="22"/>
          <w:szCs w:val="22"/>
          <w:lang w:val="ru-RU" w:eastAsia="ro-MD"/>
        </w:rPr>
        <w:t>подверженности</w:t>
      </w:r>
      <w:r w:rsidR="00B0207E" w:rsidRPr="00CE54B2">
        <w:rPr>
          <w:color w:val="000000" w:themeColor="text1"/>
          <w:sz w:val="22"/>
          <w:szCs w:val="22"/>
          <w:lang w:val="ru-RU" w:eastAsia="ro-MD"/>
        </w:rPr>
        <w:t>. Для расчета</w:t>
      </w:r>
      <w:r w:rsidR="00B0207E">
        <w:rPr>
          <w:color w:val="000000" w:themeColor="text1"/>
          <w:sz w:val="22"/>
          <w:szCs w:val="22"/>
          <w:lang w:val="ru-RU" w:eastAsia="ro-MD"/>
        </w:rPr>
        <w:t xml:space="preserve"> стоимости ожидаемых убытков</w:t>
      </w:r>
      <w:r w:rsidR="00B0207E" w:rsidRPr="00CE54B2">
        <w:rPr>
          <w:color w:val="000000" w:themeColor="text1"/>
          <w:sz w:val="22"/>
          <w:szCs w:val="22"/>
          <w:lang w:val="ru-RU" w:eastAsia="ro-MD"/>
        </w:rPr>
        <w:t>,</w:t>
      </w:r>
      <w:r w:rsidR="00AA3C4F" w:rsidRPr="00AA3C4F">
        <w:rPr>
          <w:lang w:val="ru-RU"/>
        </w:rPr>
        <w:t xml:space="preserve"> </w:t>
      </w:r>
      <w:r w:rsidR="00AA3C4F" w:rsidRPr="00AA3C4F">
        <w:rPr>
          <w:color w:val="000000" w:themeColor="text1"/>
          <w:sz w:val="22"/>
          <w:szCs w:val="22"/>
          <w:lang w:val="ru-RU" w:eastAsia="ro-MD"/>
        </w:rPr>
        <w:t xml:space="preserve">дефицита и избытка </w:t>
      </w:r>
      <w:r w:rsidR="00AA3C4F">
        <w:rPr>
          <w:color w:val="000000" w:themeColor="text1"/>
          <w:sz w:val="22"/>
          <w:szCs w:val="22"/>
          <w:lang w:val="ru-RU" w:eastAsia="ro-MD"/>
        </w:rPr>
        <w:t xml:space="preserve">согласно </w:t>
      </w:r>
      <w:r w:rsidR="00B0207E" w:rsidRPr="00CE54B2">
        <w:rPr>
          <w:color w:val="000000" w:themeColor="text1"/>
          <w:sz w:val="22"/>
          <w:szCs w:val="22"/>
          <w:lang w:val="ru-RU" w:eastAsia="ro-MD"/>
        </w:rPr>
        <w:t xml:space="preserve"> </w:t>
      </w:r>
      <w:r w:rsidR="00AA3C4F" w:rsidRPr="00884D1F">
        <w:rPr>
          <w:color w:val="000000" w:themeColor="text1"/>
          <w:sz w:val="22"/>
          <w:szCs w:val="22"/>
          <w:lang w:val="ro-RO" w:eastAsia="ro-MD"/>
        </w:rPr>
        <w:t>IRB</w:t>
      </w:r>
      <w:r w:rsidR="00AA3C4F">
        <w:rPr>
          <w:color w:val="000000" w:themeColor="text1"/>
          <w:sz w:val="22"/>
          <w:szCs w:val="22"/>
          <w:lang w:val="ru-RU" w:eastAsia="ro-MD"/>
        </w:rPr>
        <w:t xml:space="preserve">, </w:t>
      </w:r>
      <w:r w:rsidR="00AA3C4F" w:rsidRPr="00CE54B2">
        <w:rPr>
          <w:color w:val="000000" w:themeColor="text1"/>
          <w:sz w:val="22"/>
          <w:szCs w:val="22"/>
          <w:lang w:val="ru-RU" w:eastAsia="ro-MD"/>
        </w:rPr>
        <w:t xml:space="preserve"> </w:t>
      </w:r>
      <w:r w:rsidR="00B0207E" w:rsidRPr="00CE54B2">
        <w:rPr>
          <w:color w:val="000000" w:themeColor="text1"/>
          <w:sz w:val="22"/>
          <w:szCs w:val="22"/>
          <w:lang w:val="ru-RU" w:eastAsia="ro-MD"/>
        </w:rPr>
        <w:t xml:space="preserve">предусмотренного в нормативном акте Национального банка Молдовы об </w:t>
      </w:r>
      <w:r w:rsidR="00B0207E">
        <w:rPr>
          <w:color w:val="000000" w:themeColor="text1"/>
          <w:sz w:val="22"/>
          <w:szCs w:val="22"/>
          <w:lang w:val="ru-RU" w:eastAsia="ro-MD"/>
        </w:rPr>
        <w:t>отношении к</w:t>
      </w:r>
      <w:r w:rsidR="00B0207E" w:rsidRPr="00CE54B2">
        <w:rPr>
          <w:color w:val="000000" w:themeColor="text1"/>
          <w:sz w:val="22"/>
          <w:szCs w:val="22"/>
          <w:lang w:val="ru-RU" w:eastAsia="ro-MD"/>
        </w:rPr>
        <w:t xml:space="preserve"> кредитно</w:t>
      </w:r>
      <w:r w:rsidR="00B0207E">
        <w:rPr>
          <w:color w:val="000000" w:themeColor="text1"/>
          <w:sz w:val="22"/>
          <w:szCs w:val="22"/>
          <w:lang w:val="ru-RU" w:eastAsia="ro-MD"/>
        </w:rPr>
        <w:t>му</w:t>
      </w:r>
      <w:r w:rsidR="00B0207E" w:rsidRPr="00CE54B2">
        <w:rPr>
          <w:color w:val="000000" w:themeColor="text1"/>
          <w:sz w:val="22"/>
          <w:szCs w:val="22"/>
          <w:lang w:val="ru-RU" w:eastAsia="ro-MD"/>
        </w:rPr>
        <w:t xml:space="preserve"> риск</w:t>
      </w:r>
      <w:r w:rsidR="00B0207E">
        <w:rPr>
          <w:color w:val="000000" w:themeColor="text1"/>
          <w:sz w:val="22"/>
          <w:szCs w:val="22"/>
          <w:lang w:val="ru-RU" w:eastAsia="ro-MD"/>
        </w:rPr>
        <w:t>у</w:t>
      </w:r>
      <w:r w:rsidR="00B0207E" w:rsidRPr="00CE54B2">
        <w:rPr>
          <w:color w:val="000000" w:themeColor="text1"/>
          <w:sz w:val="22"/>
          <w:szCs w:val="22"/>
          <w:lang w:val="ru-RU" w:eastAsia="ro-MD"/>
        </w:rPr>
        <w:t xml:space="preserve"> для банков в рамках подхода, основанного на внутренних рейтингах, банки должны отнести к необеспеченной части стоимости </w:t>
      </w:r>
      <w:r w:rsidR="00B0207E" w:rsidRPr="005C7F1F">
        <w:rPr>
          <w:color w:val="000000" w:themeColor="text1"/>
          <w:sz w:val="22"/>
          <w:szCs w:val="22"/>
          <w:lang w:val="ru-RU" w:eastAsia="ro-MD"/>
        </w:rPr>
        <w:t xml:space="preserve">подверженности </w:t>
      </w:r>
      <w:r w:rsidR="00B0207E" w:rsidRPr="00CE54B2">
        <w:rPr>
          <w:color w:val="000000" w:themeColor="text1"/>
          <w:sz w:val="22"/>
          <w:szCs w:val="22"/>
          <w:lang w:val="ru-RU" w:eastAsia="ro-MD"/>
        </w:rPr>
        <w:t xml:space="preserve">любую общую или специфическую корректировку кредитного риска или любую дополнительную корректировку стоимости в соответствии с </w:t>
      </w:r>
      <w:r w:rsidR="00B0207E">
        <w:rPr>
          <w:color w:val="000000" w:themeColor="text1"/>
          <w:sz w:val="22"/>
          <w:szCs w:val="22"/>
          <w:lang w:val="ru-RU" w:eastAsia="ro-MD"/>
        </w:rPr>
        <w:t xml:space="preserve">Регламентом </w:t>
      </w:r>
      <w:r w:rsidR="008811D1">
        <w:rPr>
          <w:color w:val="000000" w:themeColor="text1"/>
          <w:sz w:val="22"/>
          <w:szCs w:val="22"/>
          <w:lang w:val="ru-RU" w:eastAsia="ro-MD"/>
        </w:rPr>
        <w:t xml:space="preserve">№ </w:t>
      </w:r>
      <w:r w:rsidR="00B0207E" w:rsidRPr="00CE54B2">
        <w:rPr>
          <w:color w:val="000000" w:themeColor="text1"/>
          <w:sz w:val="22"/>
          <w:szCs w:val="22"/>
          <w:lang w:val="ru-RU" w:eastAsia="ro-MD"/>
        </w:rPr>
        <w:t xml:space="preserve">109/2018, касающуюся деятельности банка, не связанной с торговым портфелем, или любое другое уменьшение собственных средств, связанное с </w:t>
      </w:r>
      <w:r w:rsidR="00B0207E" w:rsidRPr="005C7F1F">
        <w:rPr>
          <w:color w:val="000000" w:themeColor="text1"/>
          <w:sz w:val="22"/>
          <w:szCs w:val="22"/>
          <w:lang w:val="ru-RU" w:eastAsia="ro-MD"/>
        </w:rPr>
        <w:t>подверженност</w:t>
      </w:r>
      <w:r w:rsidR="00B0207E">
        <w:rPr>
          <w:color w:val="000000" w:themeColor="text1"/>
          <w:sz w:val="22"/>
          <w:szCs w:val="22"/>
          <w:lang w:val="ru-RU" w:eastAsia="ro-MD"/>
        </w:rPr>
        <w:t>ью</w:t>
      </w:r>
      <w:r w:rsidR="00B0207E" w:rsidRPr="00CE54B2">
        <w:rPr>
          <w:color w:val="000000" w:themeColor="text1"/>
          <w:sz w:val="22"/>
          <w:szCs w:val="22"/>
          <w:lang w:val="ru-RU" w:eastAsia="ro-MD"/>
        </w:rPr>
        <w:t>, за исключением вычетов в отношении применимой суммы недостаточного покрытия не</w:t>
      </w:r>
      <w:r w:rsidR="00B0207E">
        <w:rPr>
          <w:color w:val="000000" w:themeColor="text1"/>
          <w:sz w:val="22"/>
          <w:szCs w:val="22"/>
          <w:lang w:val="ru-RU" w:eastAsia="ro-MD"/>
        </w:rPr>
        <w:t xml:space="preserve">благоприятных </w:t>
      </w:r>
      <w:r w:rsidR="00B0207E" w:rsidRPr="005C7F1F">
        <w:rPr>
          <w:color w:val="000000" w:themeColor="text1"/>
          <w:sz w:val="22"/>
          <w:szCs w:val="22"/>
          <w:lang w:val="ru-RU" w:eastAsia="ro-MD"/>
        </w:rPr>
        <w:t>подверженност</w:t>
      </w:r>
      <w:r w:rsidR="00B0207E">
        <w:rPr>
          <w:color w:val="000000" w:themeColor="text1"/>
          <w:sz w:val="22"/>
          <w:szCs w:val="22"/>
          <w:lang w:val="ru-RU" w:eastAsia="ro-MD"/>
        </w:rPr>
        <w:t>ей</w:t>
      </w:r>
      <w:r w:rsidR="00B0207E" w:rsidRPr="00CE54B2">
        <w:rPr>
          <w:color w:val="000000" w:themeColor="text1"/>
          <w:sz w:val="22"/>
          <w:szCs w:val="22"/>
          <w:lang w:val="ru-RU" w:eastAsia="ro-MD"/>
        </w:rPr>
        <w:t xml:space="preserve">, произведенных в соответствии с </w:t>
      </w:r>
      <w:r w:rsidR="00B0207E">
        <w:rPr>
          <w:color w:val="000000" w:themeColor="text1"/>
          <w:sz w:val="22"/>
          <w:szCs w:val="22"/>
          <w:lang w:val="ru-RU" w:eastAsia="ro-MD"/>
        </w:rPr>
        <w:t>Регламентом</w:t>
      </w:r>
      <w:r w:rsidR="00B0207E" w:rsidRPr="00CE54B2">
        <w:rPr>
          <w:color w:val="000000" w:themeColor="text1"/>
          <w:sz w:val="22"/>
          <w:szCs w:val="22"/>
          <w:lang w:val="ru-RU" w:eastAsia="ro-MD"/>
        </w:rPr>
        <w:t xml:space="preserve"> № 109/2018.</w:t>
      </w:r>
      <w:r w:rsidR="00B0207E">
        <w:rPr>
          <w:color w:val="000000" w:themeColor="text1"/>
          <w:sz w:val="22"/>
          <w:szCs w:val="22"/>
          <w:lang w:val="ru-RU" w:eastAsia="ro-MD"/>
        </w:rPr>
        <w:t xml:space="preserve"> </w:t>
      </w:r>
    </w:p>
    <w:p w14:paraId="45128515" w14:textId="184AD035" w:rsidR="008009E3" w:rsidRPr="007544BA" w:rsidRDefault="009A79F2" w:rsidP="00D87955">
      <w:pPr>
        <w:jc w:val="both"/>
        <w:rPr>
          <w:color w:val="000000" w:themeColor="text1"/>
          <w:sz w:val="22"/>
          <w:szCs w:val="22"/>
          <w:lang w:val="ru-RU" w:eastAsia="ro-MD"/>
        </w:rPr>
      </w:pPr>
      <w:r w:rsidRPr="000B65F5">
        <w:rPr>
          <w:b/>
          <w:bCs/>
          <w:color w:val="000000" w:themeColor="text1"/>
          <w:sz w:val="22"/>
          <w:szCs w:val="22"/>
          <w:lang w:val="ru-RU" w:eastAsia="ro-MD"/>
        </w:rPr>
        <w:t>116</w:t>
      </w:r>
      <w:r w:rsidRPr="000B65F5">
        <w:rPr>
          <w:b/>
          <w:bCs/>
          <w:color w:val="000000" w:themeColor="text1"/>
          <w:sz w:val="22"/>
          <w:szCs w:val="22"/>
          <w:vertAlign w:val="superscript"/>
          <w:lang w:val="ru-RU" w:eastAsia="ro-MD"/>
        </w:rPr>
        <w:t>12</w:t>
      </w:r>
      <w:r w:rsidRPr="000B65F5">
        <w:rPr>
          <w:b/>
          <w:bCs/>
          <w:color w:val="000000" w:themeColor="text1"/>
          <w:sz w:val="22"/>
          <w:szCs w:val="22"/>
          <w:lang w:val="ru-RU" w:eastAsia="ro-MD"/>
        </w:rPr>
        <w:t>.</w:t>
      </w:r>
      <w:r w:rsidRPr="000B65F5">
        <w:rPr>
          <w:color w:val="000000" w:themeColor="text1"/>
          <w:sz w:val="22"/>
          <w:szCs w:val="22"/>
          <w:lang w:val="ru-RU" w:eastAsia="ro-MD"/>
        </w:rPr>
        <w:t xml:space="preserve"> </w:t>
      </w:r>
      <w:r w:rsidR="000B65F5" w:rsidRPr="000B65F5">
        <w:rPr>
          <w:color w:val="000000" w:themeColor="text1"/>
          <w:sz w:val="22"/>
          <w:szCs w:val="22"/>
          <w:lang w:val="ru-RU" w:eastAsia="ro-MD"/>
        </w:rPr>
        <w:t>Для целей настоящей части (G</w:t>
      </w:r>
      <w:r w:rsidR="000B65F5" w:rsidRPr="000B65F5">
        <w:rPr>
          <w:color w:val="000000" w:themeColor="text1"/>
          <w:sz w:val="22"/>
          <w:szCs w:val="22"/>
          <w:vertAlign w:val="subscript"/>
          <w:lang w:val="ru-RU" w:eastAsia="ro-MD"/>
        </w:rPr>
        <w:t>A</w:t>
      </w:r>
      <w:r w:rsidR="000B65F5" w:rsidRPr="000B65F5">
        <w:rPr>
          <w:color w:val="000000" w:themeColor="text1"/>
          <w:sz w:val="22"/>
          <w:szCs w:val="22"/>
          <w:lang w:val="ru-RU" w:eastAsia="ro-MD"/>
        </w:rPr>
        <w:t xml:space="preserve">) — это сумма скорректированной на валютный риск кредитной защиты (G*), рассчитанная в соответствии с пунктом 12 и дополнительно скорректированная с учетом любого несоответствия сроков погашения, как указано в </w:t>
      </w:r>
      <w:r w:rsidR="009326ED">
        <w:rPr>
          <w:color w:val="000000" w:themeColor="text1"/>
          <w:sz w:val="22"/>
          <w:szCs w:val="22"/>
          <w:lang w:val="ru-RU" w:eastAsia="ro-MD"/>
        </w:rPr>
        <w:t>главе</w:t>
      </w:r>
      <w:r w:rsidR="000B65F5" w:rsidRPr="000B65F5">
        <w:rPr>
          <w:color w:val="000000" w:themeColor="text1"/>
          <w:sz w:val="22"/>
          <w:szCs w:val="22"/>
          <w:lang w:val="ru-RU" w:eastAsia="ro-MD"/>
        </w:rPr>
        <w:t xml:space="preserve"> V «</w:t>
      </w:r>
      <w:r w:rsidR="009326ED">
        <w:rPr>
          <w:color w:val="000000" w:themeColor="text1"/>
          <w:sz w:val="22"/>
          <w:szCs w:val="22"/>
          <w:lang w:val="ru-RU" w:eastAsia="ro-MD"/>
        </w:rPr>
        <w:t>н</w:t>
      </w:r>
      <w:r w:rsidR="000B65F5" w:rsidRPr="000B65F5">
        <w:rPr>
          <w:color w:val="000000" w:themeColor="text1"/>
          <w:sz w:val="22"/>
          <w:szCs w:val="22"/>
          <w:lang w:val="ru-RU" w:eastAsia="ro-MD"/>
        </w:rPr>
        <w:t xml:space="preserve">есоответствие сроков погашения». Значение </w:t>
      </w:r>
      <w:r w:rsidR="009326ED">
        <w:rPr>
          <w:color w:val="000000" w:themeColor="text1"/>
          <w:sz w:val="22"/>
          <w:szCs w:val="22"/>
          <w:lang w:val="ru-RU" w:eastAsia="ro-MD"/>
        </w:rPr>
        <w:t>подверженности</w:t>
      </w:r>
      <w:r w:rsidR="000B65F5" w:rsidRPr="000B65F5">
        <w:rPr>
          <w:color w:val="000000" w:themeColor="text1"/>
          <w:sz w:val="22"/>
          <w:szCs w:val="22"/>
          <w:lang w:val="ru-RU" w:eastAsia="ro-MD"/>
        </w:rPr>
        <w:t xml:space="preserve"> (E) — это значение </w:t>
      </w:r>
      <w:r w:rsidR="009326ED">
        <w:rPr>
          <w:color w:val="000000" w:themeColor="text1"/>
          <w:sz w:val="22"/>
          <w:szCs w:val="22"/>
          <w:lang w:val="ru-RU" w:eastAsia="ro-MD"/>
        </w:rPr>
        <w:t>подверженности</w:t>
      </w:r>
      <w:r w:rsidR="000B65F5" w:rsidRPr="000B65F5">
        <w:rPr>
          <w:color w:val="000000" w:themeColor="text1"/>
          <w:sz w:val="22"/>
          <w:szCs w:val="22"/>
          <w:lang w:val="ru-RU" w:eastAsia="ro-MD"/>
        </w:rPr>
        <w:t>, определенное в соответствии с нормативным актом Национального банка Молдовы об о</w:t>
      </w:r>
      <w:r w:rsidR="009326ED">
        <w:rPr>
          <w:color w:val="000000" w:themeColor="text1"/>
          <w:sz w:val="22"/>
          <w:szCs w:val="22"/>
          <w:lang w:val="ru-RU" w:eastAsia="ro-MD"/>
        </w:rPr>
        <w:t>тношении к</w:t>
      </w:r>
      <w:r w:rsidR="000B65F5" w:rsidRPr="000B65F5">
        <w:rPr>
          <w:color w:val="000000" w:themeColor="text1"/>
          <w:sz w:val="22"/>
          <w:szCs w:val="22"/>
          <w:lang w:val="ru-RU" w:eastAsia="ro-MD"/>
        </w:rPr>
        <w:t xml:space="preserve"> кредитно</w:t>
      </w:r>
      <w:r w:rsidR="009326ED">
        <w:rPr>
          <w:color w:val="000000" w:themeColor="text1"/>
          <w:sz w:val="22"/>
          <w:szCs w:val="22"/>
          <w:lang w:val="ru-RU" w:eastAsia="ro-MD"/>
        </w:rPr>
        <w:t>му</w:t>
      </w:r>
      <w:r w:rsidR="000B65F5" w:rsidRPr="000B65F5">
        <w:rPr>
          <w:color w:val="000000" w:themeColor="text1"/>
          <w:sz w:val="22"/>
          <w:szCs w:val="22"/>
          <w:lang w:val="ru-RU" w:eastAsia="ro-MD"/>
        </w:rPr>
        <w:t xml:space="preserve"> риск</w:t>
      </w:r>
      <w:r w:rsidR="009326ED">
        <w:rPr>
          <w:color w:val="000000" w:themeColor="text1"/>
          <w:sz w:val="22"/>
          <w:szCs w:val="22"/>
          <w:lang w:val="ru-RU" w:eastAsia="ro-MD"/>
        </w:rPr>
        <w:t>у</w:t>
      </w:r>
      <w:r w:rsidR="000B65F5" w:rsidRPr="000B65F5">
        <w:rPr>
          <w:color w:val="000000" w:themeColor="text1"/>
          <w:sz w:val="22"/>
          <w:szCs w:val="22"/>
          <w:lang w:val="ru-RU" w:eastAsia="ro-MD"/>
        </w:rPr>
        <w:t xml:space="preserve"> для банков в рамках подхода, основанного на внутренних рейтингах. Банки должны рассчитывать значение </w:t>
      </w:r>
      <w:r w:rsidR="008009E3">
        <w:rPr>
          <w:color w:val="000000" w:themeColor="text1"/>
          <w:sz w:val="22"/>
          <w:szCs w:val="22"/>
          <w:lang w:val="ru-RU" w:eastAsia="ro-MD"/>
        </w:rPr>
        <w:t xml:space="preserve">подверженности </w:t>
      </w:r>
      <w:r w:rsidR="000B65F5" w:rsidRPr="000B65F5">
        <w:rPr>
          <w:color w:val="000000" w:themeColor="text1"/>
          <w:sz w:val="22"/>
          <w:szCs w:val="22"/>
          <w:lang w:val="ru-RU" w:eastAsia="ro-MD"/>
        </w:rPr>
        <w:t xml:space="preserve">для внебалансовых </w:t>
      </w:r>
      <w:r w:rsidR="003E3585">
        <w:rPr>
          <w:color w:val="000000" w:themeColor="text1"/>
          <w:sz w:val="22"/>
          <w:szCs w:val="22"/>
          <w:lang w:val="ru-RU" w:eastAsia="ro-MD"/>
        </w:rPr>
        <w:t>элементов</w:t>
      </w:r>
      <w:r w:rsidR="000B65F5" w:rsidRPr="000B65F5">
        <w:rPr>
          <w:color w:val="000000" w:themeColor="text1"/>
          <w:sz w:val="22"/>
          <w:szCs w:val="22"/>
          <w:lang w:val="ru-RU" w:eastAsia="ro-MD"/>
        </w:rPr>
        <w:t xml:space="preserve">, за исключением производных </w:t>
      </w:r>
      <w:r w:rsidR="003E3585">
        <w:rPr>
          <w:color w:val="000000" w:themeColor="text1"/>
          <w:sz w:val="22"/>
          <w:szCs w:val="22"/>
          <w:lang w:val="ru-RU" w:eastAsia="ro-MD"/>
        </w:rPr>
        <w:t xml:space="preserve">финансовых </w:t>
      </w:r>
      <w:r w:rsidR="000B65F5" w:rsidRPr="000B65F5">
        <w:rPr>
          <w:color w:val="000000" w:themeColor="text1"/>
          <w:sz w:val="22"/>
          <w:szCs w:val="22"/>
          <w:lang w:val="ru-RU" w:eastAsia="ro-MD"/>
        </w:rPr>
        <w:t xml:space="preserve">инструментов, </w:t>
      </w:r>
      <w:r w:rsidR="008009E3" w:rsidRPr="00D13F6A">
        <w:rPr>
          <w:color w:val="000000" w:themeColor="text1"/>
          <w:sz w:val="22"/>
          <w:szCs w:val="22"/>
          <w:lang w:val="ru-RU" w:eastAsia="ro-MD"/>
        </w:rPr>
        <w:t xml:space="preserve">рассматриваемых в рамках подхода, основанного на внутренних рейтинговых моделях, используя 100% коэффициент CCF вместо CCF по стандартизированному подходу или </w:t>
      </w:r>
      <w:r w:rsidR="007A5401" w:rsidRPr="00D13F6A">
        <w:rPr>
          <w:color w:val="000000" w:themeColor="text1"/>
          <w:sz w:val="22"/>
          <w:szCs w:val="22"/>
          <w:lang w:val="ru-RU" w:eastAsia="ro-MD"/>
        </w:rPr>
        <w:t>CCF основе</w:t>
      </w:r>
      <w:r w:rsidR="007A5401">
        <w:rPr>
          <w:color w:val="000000" w:themeColor="text1"/>
          <w:sz w:val="22"/>
          <w:szCs w:val="22"/>
          <w:lang w:val="ru-RU" w:eastAsia="ro-MD"/>
        </w:rPr>
        <w:t xml:space="preserve"> </w:t>
      </w:r>
      <w:r w:rsidR="007A5401" w:rsidRPr="00884D1F">
        <w:rPr>
          <w:color w:val="000000" w:themeColor="text1"/>
          <w:sz w:val="22"/>
          <w:szCs w:val="22"/>
          <w:lang w:val="ro-RO" w:eastAsia="ro-MD"/>
        </w:rPr>
        <w:t>IRB</w:t>
      </w:r>
      <w:r w:rsidR="008009E3" w:rsidRPr="00D13F6A">
        <w:rPr>
          <w:color w:val="000000" w:themeColor="text1"/>
          <w:sz w:val="22"/>
          <w:szCs w:val="22"/>
          <w:lang w:val="ru-RU" w:eastAsia="ro-MD"/>
        </w:rPr>
        <w:t>, предусмотренн</w:t>
      </w:r>
      <w:r w:rsidR="007A5401">
        <w:rPr>
          <w:color w:val="000000" w:themeColor="text1"/>
          <w:sz w:val="22"/>
          <w:szCs w:val="22"/>
          <w:lang w:val="ru-RU" w:eastAsia="ro-MD"/>
        </w:rPr>
        <w:t>ые</w:t>
      </w:r>
      <w:r w:rsidR="008009E3" w:rsidRPr="00D13F6A">
        <w:rPr>
          <w:color w:val="000000" w:themeColor="text1"/>
          <w:sz w:val="22"/>
          <w:szCs w:val="22"/>
          <w:lang w:val="ru-RU" w:eastAsia="ro-MD"/>
        </w:rPr>
        <w:t xml:space="preserve"> нормативным актом Национального банка Молдовы об отношении к кредитному риску для банков в рамках подхода, основанного на внутренних рейтинговых моделях</w:t>
      </w:r>
      <w:r w:rsidR="0085613B" w:rsidRPr="007544BA">
        <w:rPr>
          <w:color w:val="000000" w:themeColor="text1"/>
          <w:sz w:val="22"/>
          <w:szCs w:val="22"/>
          <w:lang w:val="ru-RU" w:eastAsia="ro-MD"/>
        </w:rPr>
        <w:t>.</w:t>
      </w:r>
    </w:p>
    <w:p w14:paraId="1066FAAF" w14:textId="68C26AF2" w:rsidR="009A79F2" w:rsidRPr="00884D1F" w:rsidRDefault="005659F0" w:rsidP="009A79F2">
      <w:pPr>
        <w:jc w:val="center"/>
        <w:rPr>
          <w:color w:val="000000" w:themeColor="text1"/>
          <w:sz w:val="22"/>
          <w:szCs w:val="22"/>
          <w:lang w:val="ro-RO" w:eastAsia="ro-MD"/>
        </w:rPr>
      </w:pPr>
      <w:r>
        <w:rPr>
          <w:b/>
          <w:bCs/>
          <w:i/>
          <w:iCs/>
          <w:color w:val="000000" w:themeColor="text1"/>
          <w:sz w:val="22"/>
          <w:szCs w:val="22"/>
          <w:lang w:val="ru-RU" w:eastAsia="ro-MD"/>
        </w:rPr>
        <w:t>Часть</w:t>
      </w:r>
      <w:r w:rsidR="009A79F2" w:rsidRPr="00884D1F">
        <w:rPr>
          <w:b/>
          <w:bCs/>
          <w:i/>
          <w:iCs/>
          <w:color w:val="000000" w:themeColor="text1"/>
          <w:sz w:val="22"/>
          <w:szCs w:val="22"/>
          <w:lang w:val="ro-RO" w:eastAsia="ro-MD"/>
        </w:rPr>
        <w:t xml:space="preserve"> 2</w:t>
      </w:r>
      <w:r w:rsidR="009A79F2" w:rsidRPr="00884D1F">
        <w:rPr>
          <w:b/>
          <w:bCs/>
          <w:i/>
          <w:iCs/>
          <w:color w:val="000000" w:themeColor="text1"/>
          <w:sz w:val="22"/>
          <w:szCs w:val="22"/>
          <w:vertAlign w:val="superscript"/>
          <w:lang w:val="ro-RO" w:eastAsia="ro-MD"/>
        </w:rPr>
        <w:t>3</w:t>
      </w:r>
    </w:p>
    <w:p w14:paraId="2D4BA1B5" w14:textId="0612E341" w:rsidR="009A79F2" w:rsidRPr="00186CE8" w:rsidRDefault="00186CE8" w:rsidP="009A79F2">
      <w:pPr>
        <w:ind w:firstLine="567"/>
        <w:jc w:val="both"/>
        <w:rPr>
          <w:b/>
          <w:bCs/>
          <w:i/>
          <w:iCs/>
          <w:color w:val="000000" w:themeColor="text1"/>
          <w:sz w:val="22"/>
          <w:szCs w:val="22"/>
          <w:lang w:val="ru-RU" w:eastAsia="ro-MD"/>
        </w:rPr>
      </w:pPr>
      <w:r w:rsidRPr="00186CE8">
        <w:rPr>
          <w:b/>
          <w:bCs/>
          <w:i/>
          <w:iCs/>
          <w:color w:val="000000" w:themeColor="text1"/>
          <w:sz w:val="22"/>
          <w:szCs w:val="22"/>
          <w:lang w:val="ru-RU" w:eastAsia="ro-MD"/>
        </w:rPr>
        <w:t xml:space="preserve">Расчет взвешенных по риску сумм подверженностей и ожидаемых сумм убытков по методу замещения, когда гарантированная подверженность рассматривается в соответствии с </w:t>
      </w:r>
      <w:r w:rsidRPr="00186CE8">
        <w:rPr>
          <w:b/>
          <w:bCs/>
          <w:i/>
          <w:iCs/>
          <w:color w:val="000000" w:themeColor="text1"/>
          <w:sz w:val="22"/>
          <w:szCs w:val="22"/>
          <w:lang w:val="ru-RU" w:eastAsia="ro-MD"/>
        </w:rPr>
        <w:lastRenderedPageBreak/>
        <w:t>подходом IRB с использованием собственных оценок LGD, а сопоставимая прямая подверженность перед поставщиком защиты рассматривается в соответствии с подходом IRB</w:t>
      </w:r>
    </w:p>
    <w:p w14:paraId="5A7CAB1F" w14:textId="77777777" w:rsidR="00186CE8" w:rsidRPr="00186CE8" w:rsidRDefault="00186CE8" w:rsidP="009A79F2">
      <w:pPr>
        <w:ind w:firstLine="567"/>
        <w:jc w:val="both"/>
        <w:rPr>
          <w:color w:val="000000" w:themeColor="text1"/>
          <w:sz w:val="22"/>
          <w:szCs w:val="22"/>
          <w:lang w:val="ru-RU" w:eastAsia="ro-MD"/>
        </w:rPr>
      </w:pPr>
    </w:p>
    <w:p w14:paraId="561FCA72" w14:textId="72EC5BDB" w:rsidR="004F60C0" w:rsidRDefault="009A79F2" w:rsidP="00D87955">
      <w:pPr>
        <w:jc w:val="both"/>
        <w:rPr>
          <w:color w:val="000000" w:themeColor="text1"/>
          <w:sz w:val="22"/>
          <w:szCs w:val="22"/>
          <w:lang w:val="ru-RU" w:eastAsia="ro-MD"/>
        </w:rPr>
      </w:pPr>
      <w:r w:rsidRPr="00884D1F">
        <w:rPr>
          <w:b/>
          <w:bCs/>
          <w:color w:val="000000" w:themeColor="text1"/>
          <w:sz w:val="22"/>
          <w:szCs w:val="22"/>
          <w:lang w:val="ro-RO" w:eastAsia="ro-MD"/>
        </w:rPr>
        <w:t>116</w:t>
      </w:r>
      <w:r w:rsidRPr="00884D1F">
        <w:rPr>
          <w:b/>
          <w:bCs/>
          <w:color w:val="000000" w:themeColor="text1"/>
          <w:sz w:val="22"/>
          <w:szCs w:val="22"/>
          <w:vertAlign w:val="superscript"/>
          <w:lang w:val="ro-RO" w:eastAsia="ro-MD"/>
        </w:rPr>
        <w:t>13</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4F60C0" w:rsidRPr="00E32469">
        <w:rPr>
          <w:color w:val="000000" w:themeColor="text1"/>
          <w:sz w:val="22"/>
          <w:szCs w:val="22"/>
          <w:lang w:val="ru-RU" w:eastAsia="ro-MD"/>
        </w:rPr>
        <w:t xml:space="preserve">В случае подверженности с </w:t>
      </w:r>
      <w:proofErr w:type="spellStart"/>
      <w:r w:rsidR="004F60C0" w:rsidRPr="00E32469">
        <w:rPr>
          <w:color w:val="000000" w:themeColor="text1"/>
          <w:sz w:val="22"/>
          <w:szCs w:val="22"/>
          <w:lang w:val="ru-RU" w:eastAsia="ro-MD"/>
        </w:rPr>
        <w:t>нефинансированной</w:t>
      </w:r>
      <w:proofErr w:type="spellEnd"/>
      <w:r w:rsidR="004F60C0" w:rsidRPr="00E32469">
        <w:rPr>
          <w:color w:val="000000" w:themeColor="text1"/>
          <w:sz w:val="22"/>
          <w:szCs w:val="22"/>
          <w:lang w:val="ru-RU" w:eastAsia="ro-MD"/>
        </w:rPr>
        <w:t xml:space="preserve"> защитой кредита, для которой банк применяет подход IRB, но без использования собственных оценок LGD, и где сопоставимые прямые подверженности перед поставщиком обеспечения рассматриваются в соответствии с подходом IRB, </w:t>
      </w:r>
      <w:r w:rsidR="0030149B" w:rsidRPr="0030149B">
        <w:rPr>
          <w:color w:val="000000" w:themeColor="text1"/>
          <w:sz w:val="22"/>
          <w:szCs w:val="22"/>
          <w:lang w:val="ru-RU" w:eastAsia="ro-MD"/>
        </w:rPr>
        <w:t xml:space="preserve">банк должен определить обеспеченную часть </w:t>
      </w:r>
      <w:r w:rsidR="0030149B">
        <w:rPr>
          <w:color w:val="000000" w:themeColor="text1"/>
          <w:sz w:val="22"/>
          <w:szCs w:val="22"/>
          <w:lang w:val="ru-RU" w:eastAsia="ro-MD"/>
        </w:rPr>
        <w:t>подверженности</w:t>
      </w:r>
      <w:r w:rsidR="0030149B" w:rsidRPr="0030149B">
        <w:rPr>
          <w:color w:val="000000" w:themeColor="text1"/>
          <w:sz w:val="22"/>
          <w:szCs w:val="22"/>
          <w:lang w:val="ru-RU" w:eastAsia="ro-MD"/>
        </w:rPr>
        <w:t xml:space="preserve"> как наименьшее из двух значений: стоимости </w:t>
      </w:r>
      <w:r w:rsidR="00C91B6A" w:rsidRPr="00E32469">
        <w:rPr>
          <w:color w:val="000000" w:themeColor="text1"/>
          <w:sz w:val="22"/>
          <w:szCs w:val="22"/>
          <w:lang w:val="ru-RU" w:eastAsia="ro-MD"/>
        </w:rPr>
        <w:t>подверженности</w:t>
      </w:r>
      <w:r w:rsidR="00C91B6A" w:rsidRPr="0030149B">
        <w:rPr>
          <w:color w:val="000000" w:themeColor="text1"/>
          <w:sz w:val="22"/>
          <w:szCs w:val="22"/>
          <w:lang w:val="ru-RU" w:eastAsia="ro-MD"/>
        </w:rPr>
        <w:t xml:space="preserve"> </w:t>
      </w:r>
      <w:r w:rsidR="0030149B" w:rsidRPr="0030149B">
        <w:rPr>
          <w:color w:val="000000" w:themeColor="text1"/>
          <w:sz w:val="22"/>
          <w:szCs w:val="22"/>
          <w:lang w:val="ru-RU" w:eastAsia="ro-MD"/>
        </w:rPr>
        <w:t xml:space="preserve">(E) и скорректированной стоимости </w:t>
      </w:r>
      <w:proofErr w:type="spellStart"/>
      <w:r w:rsidR="00C91B6A" w:rsidRPr="00E32469">
        <w:rPr>
          <w:color w:val="000000" w:themeColor="text1"/>
          <w:sz w:val="22"/>
          <w:szCs w:val="22"/>
          <w:lang w:val="ru-RU" w:eastAsia="ro-MD"/>
        </w:rPr>
        <w:t>нефинансированной</w:t>
      </w:r>
      <w:proofErr w:type="spellEnd"/>
      <w:r w:rsidR="00C91B6A" w:rsidRPr="00E32469">
        <w:rPr>
          <w:color w:val="000000" w:themeColor="text1"/>
          <w:sz w:val="22"/>
          <w:szCs w:val="22"/>
          <w:lang w:val="ru-RU" w:eastAsia="ro-MD"/>
        </w:rPr>
        <w:t xml:space="preserve"> защит</w:t>
      </w:r>
      <w:r w:rsidR="00C91B6A">
        <w:rPr>
          <w:color w:val="000000" w:themeColor="text1"/>
          <w:sz w:val="22"/>
          <w:szCs w:val="22"/>
          <w:lang w:val="ru-RU" w:eastAsia="ro-MD"/>
        </w:rPr>
        <w:t>ы</w:t>
      </w:r>
      <w:r w:rsidR="00C91B6A" w:rsidRPr="00E32469">
        <w:rPr>
          <w:color w:val="000000" w:themeColor="text1"/>
          <w:sz w:val="22"/>
          <w:szCs w:val="22"/>
          <w:lang w:val="ru-RU" w:eastAsia="ro-MD"/>
        </w:rPr>
        <w:t xml:space="preserve"> кредита</w:t>
      </w:r>
      <w:r w:rsidR="00C91B6A" w:rsidRPr="00442E67">
        <w:rPr>
          <w:color w:val="000000" w:themeColor="text1"/>
          <w:sz w:val="22"/>
          <w:szCs w:val="22"/>
          <w:lang w:val="ru-RU" w:eastAsia="ro-MD"/>
        </w:rPr>
        <w:t xml:space="preserve"> </w:t>
      </w:r>
      <w:r w:rsidR="0030149B" w:rsidRPr="0030149B">
        <w:rPr>
          <w:color w:val="000000" w:themeColor="text1"/>
          <w:sz w:val="22"/>
          <w:szCs w:val="22"/>
          <w:lang w:val="ru-RU" w:eastAsia="ro-MD"/>
        </w:rPr>
        <w:t>(GA), рассчитанной в соответствии с пунктом 116</w:t>
      </w:r>
      <w:r w:rsidR="00C91B6A">
        <w:rPr>
          <w:color w:val="000000" w:themeColor="text1"/>
          <w:sz w:val="22"/>
          <w:szCs w:val="22"/>
          <w:vertAlign w:val="superscript"/>
          <w:lang w:val="ru-RU" w:eastAsia="ro-MD"/>
        </w:rPr>
        <w:t>1</w:t>
      </w:r>
      <w:r w:rsidR="0030149B" w:rsidRPr="0030149B">
        <w:rPr>
          <w:color w:val="000000" w:themeColor="text1"/>
          <w:sz w:val="22"/>
          <w:szCs w:val="22"/>
          <w:lang w:val="ru-RU" w:eastAsia="ro-MD"/>
        </w:rPr>
        <w:t xml:space="preserve">. Банк должен рассчитать взвешенную по риску сумму </w:t>
      </w:r>
      <w:r w:rsidR="003C39A7" w:rsidRPr="00E32469">
        <w:rPr>
          <w:color w:val="000000" w:themeColor="text1"/>
          <w:sz w:val="22"/>
          <w:szCs w:val="22"/>
          <w:lang w:val="ru-RU" w:eastAsia="ro-MD"/>
        </w:rPr>
        <w:t>подверженности</w:t>
      </w:r>
      <w:r w:rsidR="003C39A7" w:rsidRPr="0030149B">
        <w:rPr>
          <w:color w:val="000000" w:themeColor="text1"/>
          <w:sz w:val="22"/>
          <w:szCs w:val="22"/>
          <w:lang w:val="ru-RU" w:eastAsia="ro-MD"/>
        </w:rPr>
        <w:t xml:space="preserve"> </w:t>
      </w:r>
      <w:r w:rsidR="0030149B" w:rsidRPr="0030149B">
        <w:rPr>
          <w:color w:val="000000" w:themeColor="text1"/>
          <w:sz w:val="22"/>
          <w:szCs w:val="22"/>
          <w:lang w:val="ru-RU" w:eastAsia="ro-MD"/>
        </w:rPr>
        <w:t xml:space="preserve">и сумму </w:t>
      </w:r>
      <w:r w:rsidR="003C39A7" w:rsidRPr="0030149B">
        <w:rPr>
          <w:color w:val="000000" w:themeColor="text1"/>
          <w:sz w:val="22"/>
          <w:szCs w:val="22"/>
          <w:lang w:val="ru-RU" w:eastAsia="ro-MD"/>
        </w:rPr>
        <w:t>ожидаем</w:t>
      </w:r>
      <w:r w:rsidR="003C39A7">
        <w:rPr>
          <w:color w:val="000000" w:themeColor="text1"/>
          <w:sz w:val="22"/>
          <w:szCs w:val="22"/>
          <w:lang w:val="ru-RU" w:eastAsia="ro-MD"/>
        </w:rPr>
        <w:t>ых</w:t>
      </w:r>
      <w:r w:rsidR="003C39A7" w:rsidRPr="0030149B">
        <w:rPr>
          <w:color w:val="000000" w:themeColor="text1"/>
          <w:sz w:val="22"/>
          <w:szCs w:val="22"/>
          <w:lang w:val="ru-RU" w:eastAsia="ro-MD"/>
        </w:rPr>
        <w:t xml:space="preserve"> </w:t>
      </w:r>
      <w:r w:rsidR="0030149B" w:rsidRPr="0030149B">
        <w:rPr>
          <w:color w:val="000000" w:themeColor="text1"/>
          <w:sz w:val="22"/>
          <w:szCs w:val="22"/>
          <w:lang w:val="ru-RU" w:eastAsia="ro-MD"/>
        </w:rPr>
        <w:t xml:space="preserve">убытков для обеспеченной части стоимости </w:t>
      </w:r>
      <w:r w:rsidR="003C39A7" w:rsidRPr="00E32469">
        <w:rPr>
          <w:color w:val="000000" w:themeColor="text1"/>
          <w:sz w:val="22"/>
          <w:szCs w:val="22"/>
          <w:lang w:val="ru-RU" w:eastAsia="ro-MD"/>
        </w:rPr>
        <w:t>подверженности</w:t>
      </w:r>
      <w:r w:rsidR="0030149B" w:rsidRPr="0030149B">
        <w:rPr>
          <w:color w:val="000000" w:themeColor="text1"/>
          <w:sz w:val="22"/>
          <w:szCs w:val="22"/>
          <w:lang w:val="ru-RU" w:eastAsia="ro-MD"/>
        </w:rPr>
        <w:t>, используя PD, LGD и ту же функцию взвешивания риска, что и для сопоставимо</w:t>
      </w:r>
      <w:r w:rsidR="003C39A7">
        <w:rPr>
          <w:color w:val="000000" w:themeColor="text1"/>
          <w:sz w:val="22"/>
          <w:szCs w:val="22"/>
          <w:lang w:val="ru-RU" w:eastAsia="ro-MD"/>
        </w:rPr>
        <w:t xml:space="preserve">й </w:t>
      </w:r>
      <w:r w:rsidR="0030149B" w:rsidRPr="0030149B">
        <w:rPr>
          <w:color w:val="000000" w:themeColor="text1"/>
          <w:sz w:val="22"/>
          <w:szCs w:val="22"/>
          <w:lang w:val="ru-RU" w:eastAsia="ro-MD"/>
        </w:rPr>
        <w:t>прямо</w:t>
      </w:r>
      <w:r w:rsidR="003C39A7">
        <w:rPr>
          <w:color w:val="000000" w:themeColor="text1"/>
          <w:sz w:val="22"/>
          <w:szCs w:val="22"/>
          <w:lang w:val="ru-RU" w:eastAsia="ro-MD"/>
        </w:rPr>
        <w:t>й</w:t>
      </w:r>
      <w:r w:rsidR="0030149B" w:rsidRPr="0030149B">
        <w:rPr>
          <w:color w:val="000000" w:themeColor="text1"/>
          <w:sz w:val="22"/>
          <w:szCs w:val="22"/>
          <w:lang w:val="ru-RU" w:eastAsia="ro-MD"/>
        </w:rPr>
        <w:t xml:space="preserve"> </w:t>
      </w:r>
      <w:r w:rsidR="003C39A7" w:rsidRPr="00E32469">
        <w:rPr>
          <w:color w:val="000000" w:themeColor="text1"/>
          <w:sz w:val="22"/>
          <w:szCs w:val="22"/>
          <w:lang w:val="ru-RU" w:eastAsia="ro-MD"/>
        </w:rPr>
        <w:t>подверженности</w:t>
      </w:r>
      <w:r w:rsidR="003C39A7" w:rsidRPr="0030149B">
        <w:rPr>
          <w:color w:val="000000" w:themeColor="text1"/>
          <w:sz w:val="22"/>
          <w:szCs w:val="22"/>
          <w:lang w:val="ru-RU" w:eastAsia="ro-MD"/>
        </w:rPr>
        <w:t xml:space="preserve"> </w:t>
      </w:r>
      <w:r w:rsidR="0030149B" w:rsidRPr="0030149B">
        <w:rPr>
          <w:color w:val="000000" w:themeColor="text1"/>
          <w:sz w:val="22"/>
          <w:szCs w:val="22"/>
          <w:lang w:val="ru-RU" w:eastAsia="ro-MD"/>
        </w:rPr>
        <w:t>перед поставщиком защиты, и должен использовать, где это применимо, срок погашения (M) базово</w:t>
      </w:r>
      <w:r w:rsidR="00DB3770">
        <w:rPr>
          <w:color w:val="000000" w:themeColor="text1"/>
          <w:sz w:val="22"/>
          <w:szCs w:val="22"/>
          <w:lang w:val="ru-RU" w:eastAsia="ro-MD"/>
        </w:rPr>
        <w:t xml:space="preserve">й </w:t>
      </w:r>
      <w:r w:rsidR="00DB3770" w:rsidRPr="00E32469">
        <w:rPr>
          <w:color w:val="000000" w:themeColor="text1"/>
          <w:sz w:val="22"/>
          <w:szCs w:val="22"/>
          <w:lang w:val="ru-RU" w:eastAsia="ro-MD"/>
        </w:rPr>
        <w:t>подверженности</w:t>
      </w:r>
      <w:r w:rsidR="0030149B" w:rsidRPr="0030149B">
        <w:rPr>
          <w:color w:val="000000" w:themeColor="text1"/>
          <w:sz w:val="22"/>
          <w:szCs w:val="22"/>
          <w:lang w:val="ru-RU" w:eastAsia="ro-MD"/>
        </w:rPr>
        <w:t>.</w:t>
      </w:r>
    </w:p>
    <w:p w14:paraId="4CD17639" w14:textId="40C838D2" w:rsidR="00373606" w:rsidRDefault="009A79F2" w:rsidP="00D87955">
      <w:pPr>
        <w:jc w:val="both"/>
        <w:rPr>
          <w:color w:val="000000" w:themeColor="text1"/>
          <w:sz w:val="22"/>
          <w:szCs w:val="22"/>
          <w:lang w:val="ru-RU" w:eastAsia="ro-MD"/>
        </w:rPr>
      </w:pPr>
      <w:r w:rsidRPr="00884D1F">
        <w:rPr>
          <w:b/>
          <w:bCs/>
          <w:color w:val="000000" w:themeColor="text1"/>
          <w:sz w:val="22"/>
          <w:szCs w:val="22"/>
          <w:lang w:val="ro-RO" w:eastAsia="ro-MD"/>
        </w:rPr>
        <w:t>116</w:t>
      </w:r>
      <w:r w:rsidRPr="00884D1F">
        <w:rPr>
          <w:b/>
          <w:bCs/>
          <w:color w:val="000000" w:themeColor="text1"/>
          <w:sz w:val="22"/>
          <w:szCs w:val="22"/>
          <w:vertAlign w:val="superscript"/>
          <w:lang w:val="ro-RO" w:eastAsia="ro-MD"/>
        </w:rPr>
        <w:t>14</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373606" w:rsidRPr="00373606">
        <w:rPr>
          <w:color w:val="000000" w:themeColor="text1"/>
          <w:sz w:val="22"/>
          <w:szCs w:val="22"/>
          <w:lang w:val="ru-RU" w:eastAsia="ro-MD"/>
        </w:rPr>
        <w:t xml:space="preserve">Банки, применяющие подход, основанный на внутренних рейтингах (IRB), но не использующие собственные оценки LGD для сопоставимых прямых </w:t>
      </w:r>
      <w:r w:rsidR="00373606" w:rsidRPr="00E32469">
        <w:rPr>
          <w:color w:val="000000" w:themeColor="text1"/>
          <w:sz w:val="22"/>
          <w:szCs w:val="22"/>
          <w:lang w:val="ru-RU" w:eastAsia="ro-MD"/>
        </w:rPr>
        <w:t>подверженност</w:t>
      </w:r>
      <w:r w:rsidR="00373606">
        <w:rPr>
          <w:color w:val="000000" w:themeColor="text1"/>
          <w:sz w:val="22"/>
          <w:szCs w:val="22"/>
          <w:lang w:val="ru-RU" w:eastAsia="ro-MD"/>
        </w:rPr>
        <w:t>ей</w:t>
      </w:r>
      <w:r w:rsidR="00373606" w:rsidRPr="00373606">
        <w:rPr>
          <w:color w:val="000000" w:themeColor="text1"/>
          <w:sz w:val="22"/>
          <w:szCs w:val="22"/>
          <w:lang w:val="ru-RU" w:eastAsia="ro-MD"/>
        </w:rPr>
        <w:t xml:space="preserve"> перед поставщиком защиты, должны определять LGD в соответствии с нормативным актом Национального банка Молдовы об </w:t>
      </w:r>
      <w:r w:rsidR="00373606" w:rsidRPr="00E32469">
        <w:rPr>
          <w:color w:val="000000" w:themeColor="text1"/>
          <w:sz w:val="22"/>
          <w:szCs w:val="22"/>
          <w:lang w:val="ru-RU" w:eastAsia="ro-MD"/>
        </w:rPr>
        <w:t xml:space="preserve">отношении к кредитному риску </w:t>
      </w:r>
      <w:r w:rsidR="00373606" w:rsidRPr="00373606">
        <w:rPr>
          <w:color w:val="000000" w:themeColor="text1"/>
          <w:sz w:val="22"/>
          <w:szCs w:val="22"/>
          <w:lang w:val="ru-RU" w:eastAsia="ro-MD"/>
        </w:rPr>
        <w:t xml:space="preserve">для банков в рамках подхода, основанного на внутренних рейтингах. Для субординированных </w:t>
      </w:r>
      <w:r w:rsidR="00DF65F4" w:rsidRPr="00E32469">
        <w:rPr>
          <w:color w:val="000000" w:themeColor="text1"/>
          <w:sz w:val="22"/>
          <w:szCs w:val="22"/>
          <w:lang w:val="ru-RU" w:eastAsia="ro-MD"/>
        </w:rPr>
        <w:t>подверженност</w:t>
      </w:r>
      <w:r w:rsidR="00DF65F4">
        <w:rPr>
          <w:color w:val="000000" w:themeColor="text1"/>
          <w:sz w:val="22"/>
          <w:szCs w:val="22"/>
          <w:lang w:val="ru-RU" w:eastAsia="ro-MD"/>
        </w:rPr>
        <w:t>ей</w:t>
      </w:r>
      <w:r w:rsidR="00373606" w:rsidRPr="00373606">
        <w:rPr>
          <w:color w:val="000000" w:themeColor="text1"/>
          <w:sz w:val="22"/>
          <w:szCs w:val="22"/>
          <w:lang w:val="ru-RU" w:eastAsia="ro-MD"/>
        </w:rPr>
        <w:t xml:space="preserve"> и </w:t>
      </w:r>
      <w:proofErr w:type="spellStart"/>
      <w:r w:rsidR="001D4727" w:rsidRPr="00442E67">
        <w:rPr>
          <w:color w:val="000000" w:themeColor="text1"/>
          <w:sz w:val="22"/>
          <w:szCs w:val="22"/>
          <w:lang w:val="ru-RU" w:eastAsia="ro-MD"/>
        </w:rPr>
        <w:t>несубординированной</w:t>
      </w:r>
      <w:proofErr w:type="spellEnd"/>
      <w:r w:rsidR="001D4727" w:rsidRPr="00442E67">
        <w:rPr>
          <w:color w:val="000000" w:themeColor="text1"/>
          <w:sz w:val="22"/>
          <w:szCs w:val="22"/>
          <w:lang w:val="ru-RU" w:eastAsia="ro-MD"/>
        </w:rPr>
        <w:t xml:space="preserve"> </w:t>
      </w:r>
      <w:proofErr w:type="spellStart"/>
      <w:r w:rsidR="001D4727" w:rsidRPr="00E32469">
        <w:rPr>
          <w:color w:val="000000" w:themeColor="text1"/>
          <w:sz w:val="22"/>
          <w:szCs w:val="22"/>
          <w:lang w:val="ru-RU" w:eastAsia="ro-MD"/>
        </w:rPr>
        <w:t>нефинансированной</w:t>
      </w:r>
      <w:proofErr w:type="spellEnd"/>
      <w:r w:rsidR="001D4727" w:rsidRPr="00E32469">
        <w:rPr>
          <w:color w:val="000000" w:themeColor="text1"/>
          <w:sz w:val="22"/>
          <w:szCs w:val="22"/>
          <w:lang w:val="ru-RU" w:eastAsia="ro-MD"/>
        </w:rPr>
        <w:t xml:space="preserve"> защит</w:t>
      </w:r>
      <w:r w:rsidR="001D4727">
        <w:rPr>
          <w:color w:val="000000" w:themeColor="text1"/>
          <w:sz w:val="22"/>
          <w:szCs w:val="22"/>
          <w:lang w:val="ru-RU" w:eastAsia="ro-MD"/>
        </w:rPr>
        <w:t>ы</w:t>
      </w:r>
      <w:r w:rsidR="001D4727" w:rsidRPr="00E32469">
        <w:rPr>
          <w:color w:val="000000" w:themeColor="text1"/>
          <w:sz w:val="22"/>
          <w:szCs w:val="22"/>
          <w:lang w:val="ru-RU" w:eastAsia="ro-MD"/>
        </w:rPr>
        <w:t xml:space="preserve"> кредита</w:t>
      </w:r>
      <w:r w:rsidR="001D4727" w:rsidRPr="00442E67">
        <w:rPr>
          <w:color w:val="000000" w:themeColor="text1"/>
          <w:sz w:val="22"/>
          <w:szCs w:val="22"/>
          <w:lang w:val="ru-RU" w:eastAsia="ro-MD"/>
        </w:rPr>
        <w:t xml:space="preserve"> </w:t>
      </w:r>
      <w:r w:rsidR="00373606" w:rsidRPr="00373606">
        <w:rPr>
          <w:color w:val="000000" w:themeColor="text1"/>
          <w:sz w:val="22"/>
          <w:szCs w:val="22"/>
          <w:lang w:val="ru-RU" w:eastAsia="ro-MD"/>
        </w:rPr>
        <w:t xml:space="preserve">LGD, применяемый банками </w:t>
      </w:r>
      <w:r w:rsidR="00D8106F" w:rsidRPr="00442E67">
        <w:rPr>
          <w:color w:val="000000" w:themeColor="text1"/>
          <w:sz w:val="22"/>
          <w:szCs w:val="22"/>
          <w:lang w:val="ru-RU" w:eastAsia="ro-MD"/>
        </w:rPr>
        <w:t xml:space="preserve">к обеспеченной части стоимости </w:t>
      </w:r>
      <w:r w:rsidR="00D8106F" w:rsidRPr="00E32469">
        <w:rPr>
          <w:color w:val="000000" w:themeColor="text1"/>
          <w:sz w:val="22"/>
          <w:szCs w:val="22"/>
          <w:lang w:val="ru-RU" w:eastAsia="ro-MD"/>
        </w:rPr>
        <w:t>подверженности</w:t>
      </w:r>
      <w:r w:rsidR="00D8106F" w:rsidRPr="00442E67">
        <w:rPr>
          <w:color w:val="000000" w:themeColor="text1"/>
          <w:sz w:val="22"/>
          <w:szCs w:val="22"/>
          <w:lang w:val="ru-RU" w:eastAsia="ro-MD"/>
        </w:rPr>
        <w:t>, представляет собой коэффициент</w:t>
      </w:r>
      <w:r w:rsidR="00D8106F">
        <w:rPr>
          <w:color w:val="000000" w:themeColor="text1"/>
          <w:sz w:val="22"/>
          <w:szCs w:val="22"/>
          <w:lang w:val="ru-RU" w:eastAsia="ro-MD"/>
        </w:rPr>
        <w:t xml:space="preserve"> </w:t>
      </w:r>
      <w:r w:rsidR="00D8106F" w:rsidRPr="00884D1F">
        <w:rPr>
          <w:color w:val="000000" w:themeColor="text1"/>
          <w:sz w:val="22"/>
          <w:szCs w:val="22"/>
          <w:lang w:val="ro-RO" w:eastAsia="ro-MD"/>
        </w:rPr>
        <w:t>LGD</w:t>
      </w:r>
      <w:r w:rsidR="00D8106F" w:rsidRPr="00442E67">
        <w:rPr>
          <w:color w:val="000000" w:themeColor="text1"/>
          <w:sz w:val="22"/>
          <w:szCs w:val="22"/>
          <w:lang w:val="ru-RU" w:eastAsia="ro-MD"/>
        </w:rPr>
        <w:t xml:space="preserve">, связанный со старшими дебиторскими задолженностями, и банки могут учитывать любую </w:t>
      </w:r>
      <w:r w:rsidR="00D8106F">
        <w:rPr>
          <w:color w:val="000000" w:themeColor="text1"/>
          <w:sz w:val="22"/>
          <w:szCs w:val="22"/>
          <w:lang w:val="ru-RU" w:eastAsia="ro-MD"/>
        </w:rPr>
        <w:t xml:space="preserve">финансируемую </w:t>
      </w:r>
      <w:r w:rsidR="00D8106F" w:rsidRPr="00442E67">
        <w:rPr>
          <w:color w:val="000000" w:themeColor="text1"/>
          <w:sz w:val="22"/>
          <w:szCs w:val="22"/>
          <w:lang w:val="ru-RU" w:eastAsia="ro-MD"/>
        </w:rPr>
        <w:t xml:space="preserve">кредитную защиту, которая обеспечивает </w:t>
      </w:r>
      <w:proofErr w:type="spellStart"/>
      <w:r w:rsidR="00D8106F" w:rsidRPr="00E32469">
        <w:rPr>
          <w:color w:val="000000" w:themeColor="text1"/>
          <w:sz w:val="22"/>
          <w:szCs w:val="22"/>
          <w:lang w:val="ru-RU" w:eastAsia="ro-MD"/>
        </w:rPr>
        <w:t>нефинансированн</w:t>
      </w:r>
      <w:r w:rsidR="00D8106F">
        <w:rPr>
          <w:color w:val="000000" w:themeColor="text1"/>
          <w:sz w:val="22"/>
          <w:szCs w:val="22"/>
          <w:lang w:val="ru-RU" w:eastAsia="ro-MD"/>
        </w:rPr>
        <w:t>ую</w:t>
      </w:r>
      <w:proofErr w:type="spellEnd"/>
      <w:r w:rsidR="00D8106F" w:rsidRPr="00E32469">
        <w:rPr>
          <w:color w:val="000000" w:themeColor="text1"/>
          <w:sz w:val="22"/>
          <w:szCs w:val="22"/>
          <w:lang w:val="ru-RU" w:eastAsia="ro-MD"/>
        </w:rPr>
        <w:t xml:space="preserve"> защит</w:t>
      </w:r>
      <w:r w:rsidR="00D8106F">
        <w:rPr>
          <w:color w:val="000000" w:themeColor="text1"/>
          <w:sz w:val="22"/>
          <w:szCs w:val="22"/>
          <w:lang w:val="ru-RU" w:eastAsia="ro-MD"/>
        </w:rPr>
        <w:t>у</w:t>
      </w:r>
      <w:r w:rsidR="00D8106F" w:rsidRPr="00E32469">
        <w:rPr>
          <w:color w:val="000000" w:themeColor="text1"/>
          <w:sz w:val="22"/>
          <w:szCs w:val="22"/>
          <w:lang w:val="ru-RU" w:eastAsia="ro-MD"/>
        </w:rPr>
        <w:t xml:space="preserve"> кредита</w:t>
      </w:r>
      <w:r w:rsidR="00D8106F" w:rsidRPr="00442E67">
        <w:rPr>
          <w:color w:val="000000" w:themeColor="text1"/>
          <w:sz w:val="22"/>
          <w:szCs w:val="22"/>
          <w:lang w:val="ru-RU" w:eastAsia="ro-MD"/>
        </w:rPr>
        <w:t xml:space="preserve"> в соответствии с настоящей </w:t>
      </w:r>
      <w:r w:rsidR="00D8106F">
        <w:rPr>
          <w:color w:val="000000" w:themeColor="text1"/>
          <w:sz w:val="22"/>
          <w:szCs w:val="22"/>
          <w:lang w:val="ru-RU" w:eastAsia="ro-MD"/>
        </w:rPr>
        <w:t>регламентом</w:t>
      </w:r>
      <w:r w:rsidR="00373606" w:rsidRPr="00373606">
        <w:rPr>
          <w:color w:val="000000" w:themeColor="text1"/>
          <w:sz w:val="22"/>
          <w:szCs w:val="22"/>
          <w:lang w:val="ru-RU" w:eastAsia="ro-MD"/>
        </w:rPr>
        <w:t>.</w:t>
      </w:r>
    </w:p>
    <w:p w14:paraId="2CDC7769" w14:textId="635B803C" w:rsidR="00447F5A" w:rsidRDefault="009A79F2" w:rsidP="00D87955">
      <w:pPr>
        <w:jc w:val="both"/>
        <w:rPr>
          <w:color w:val="000000" w:themeColor="text1"/>
          <w:sz w:val="22"/>
          <w:szCs w:val="22"/>
          <w:lang w:val="ru-RU" w:eastAsia="ro-MD"/>
        </w:rPr>
      </w:pPr>
      <w:r w:rsidRPr="00884D1F">
        <w:rPr>
          <w:b/>
          <w:bCs/>
          <w:color w:val="000000" w:themeColor="text1"/>
          <w:sz w:val="22"/>
          <w:szCs w:val="22"/>
          <w:lang w:val="ro-RO" w:eastAsia="ro-MD"/>
        </w:rPr>
        <w:t>116</w:t>
      </w:r>
      <w:r w:rsidRPr="00884D1F">
        <w:rPr>
          <w:b/>
          <w:bCs/>
          <w:color w:val="000000" w:themeColor="text1"/>
          <w:sz w:val="22"/>
          <w:szCs w:val="22"/>
          <w:vertAlign w:val="superscript"/>
          <w:lang w:val="ro-RO" w:eastAsia="ro-MD"/>
        </w:rPr>
        <w:t>15</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447F5A" w:rsidRPr="00447F5A">
        <w:rPr>
          <w:color w:val="000000" w:themeColor="text1"/>
          <w:sz w:val="22"/>
          <w:szCs w:val="22"/>
          <w:lang w:val="ru-RU" w:eastAsia="ro-MD"/>
        </w:rPr>
        <w:t>Банки, применяющие подход</w:t>
      </w:r>
      <w:r w:rsidR="000249DD">
        <w:rPr>
          <w:color w:val="000000" w:themeColor="text1"/>
          <w:sz w:val="22"/>
          <w:szCs w:val="22"/>
          <w:lang w:val="ru-RU" w:eastAsia="ro-MD"/>
        </w:rPr>
        <w:t xml:space="preserve"> </w:t>
      </w:r>
      <w:r w:rsidR="00447F5A" w:rsidRPr="00447F5A">
        <w:rPr>
          <w:color w:val="000000" w:themeColor="text1"/>
          <w:sz w:val="22"/>
          <w:szCs w:val="22"/>
          <w:lang w:val="ru-RU" w:eastAsia="ro-MD"/>
        </w:rPr>
        <w:t>IRB</w:t>
      </w:r>
      <w:r w:rsidR="000249DD">
        <w:rPr>
          <w:color w:val="000000" w:themeColor="text1"/>
          <w:sz w:val="22"/>
          <w:szCs w:val="22"/>
          <w:lang w:val="ru-RU" w:eastAsia="ro-MD"/>
        </w:rPr>
        <w:t xml:space="preserve"> </w:t>
      </w:r>
      <w:r w:rsidR="00447F5A" w:rsidRPr="00447F5A">
        <w:rPr>
          <w:color w:val="000000" w:themeColor="text1"/>
          <w:sz w:val="22"/>
          <w:szCs w:val="22"/>
          <w:lang w:val="ru-RU" w:eastAsia="ro-MD"/>
        </w:rPr>
        <w:t xml:space="preserve">, используя собственные оценки LGD </w:t>
      </w:r>
      <w:r w:rsidR="000249DD">
        <w:rPr>
          <w:color w:val="000000" w:themeColor="text1"/>
          <w:sz w:val="22"/>
          <w:szCs w:val="22"/>
          <w:lang w:val="ru-RU" w:eastAsia="ro-MD"/>
        </w:rPr>
        <w:t xml:space="preserve"> </w:t>
      </w:r>
      <w:r w:rsidR="00447F5A" w:rsidRPr="00447F5A">
        <w:rPr>
          <w:color w:val="000000" w:themeColor="text1"/>
          <w:sz w:val="22"/>
          <w:szCs w:val="22"/>
          <w:lang w:val="ru-RU" w:eastAsia="ro-MD"/>
        </w:rPr>
        <w:t xml:space="preserve">к сопоставимым прямым </w:t>
      </w:r>
      <w:r w:rsidR="000249DD">
        <w:rPr>
          <w:color w:val="000000" w:themeColor="text1"/>
          <w:sz w:val="22"/>
          <w:szCs w:val="22"/>
          <w:lang w:val="ru-RU" w:eastAsia="ro-MD"/>
        </w:rPr>
        <w:t>подверженностям перед поставщиком защиты</w:t>
      </w:r>
      <w:r w:rsidR="00447F5A" w:rsidRPr="00447F5A">
        <w:rPr>
          <w:color w:val="000000" w:themeColor="text1"/>
          <w:sz w:val="22"/>
          <w:szCs w:val="22"/>
          <w:lang w:val="ru-RU" w:eastAsia="ro-MD"/>
        </w:rPr>
        <w:t>, должны рассчитывать коэффициент риска и ожидаемые потери, применимые к обеспеченной части базово</w:t>
      </w:r>
      <w:r w:rsidR="005F5888">
        <w:rPr>
          <w:color w:val="000000" w:themeColor="text1"/>
          <w:sz w:val="22"/>
          <w:szCs w:val="22"/>
          <w:lang w:val="ru-RU" w:eastAsia="ro-MD"/>
        </w:rPr>
        <w:t>й подверженности</w:t>
      </w:r>
      <w:r w:rsidR="00447F5A" w:rsidRPr="00447F5A">
        <w:rPr>
          <w:color w:val="000000" w:themeColor="text1"/>
          <w:sz w:val="22"/>
          <w:szCs w:val="22"/>
          <w:lang w:val="ru-RU" w:eastAsia="ro-MD"/>
        </w:rPr>
        <w:t>, используя PD, LGD и ту же функцию коэффициента риска, что и для сопоставимо</w:t>
      </w:r>
      <w:r w:rsidR="005F5888">
        <w:rPr>
          <w:color w:val="000000" w:themeColor="text1"/>
          <w:sz w:val="22"/>
          <w:szCs w:val="22"/>
          <w:lang w:val="ru-RU" w:eastAsia="ro-MD"/>
        </w:rPr>
        <w:t>й</w:t>
      </w:r>
      <w:r w:rsidR="00447F5A" w:rsidRPr="00447F5A">
        <w:rPr>
          <w:color w:val="000000" w:themeColor="text1"/>
          <w:sz w:val="22"/>
          <w:szCs w:val="22"/>
          <w:lang w:val="ru-RU" w:eastAsia="ro-MD"/>
        </w:rPr>
        <w:t xml:space="preserve"> прямо</w:t>
      </w:r>
      <w:r w:rsidR="005F5888">
        <w:rPr>
          <w:color w:val="000000" w:themeColor="text1"/>
          <w:sz w:val="22"/>
          <w:szCs w:val="22"/>
          <w:lang w:val="ru-RU" w:eastAsia="ro-MD"/>
        </w:rPr>
        <w:t>й</w:t>
      </w:r>
      <w:r w:rsidR="00447F5A" w:rsidRPr="00447F5A">
        <w:rPr>
          <w:color w:val="000000" w:themeColor="text1"/>
          <w:sz w:val="22"/>
          <w:szCs w:val="22"/>
          <w:lang w:val="ru-RU" w:eastAsia="ro-MD"/>
        </w:rPr>
        <w:t xml:space="preserve"> </w:t>
      </w:r>
      <w:r w:rsidR="005F5888">
        <w:rPr>
          <w:color w:val="000000" w:themeColor="text1"/>
          <w:sz w:val="22"/>
          <w:szCs w:val="22"/>
          <w:lang w:val="ru-RU" w:eastAsia="ro-MD"/>
        </w:rPr>
        <w:t>подверженности</w:t>
      </w:r>
      <w:r w:rsidR="008808A4" w:rsidRPr="008808A4">
        <w:rPr>
          <w:color w:val="000000" w:themeColor="text1"/>
          <w:sz w:val="22"/>
          <w:szCs w:val="22"/>
          <w:lang w:val="ru-RU" w:eastAsia="ro-MD"/>
        </w:rPr>
        <w:t xml:space="preserve"> </w:t>
      </w:r>
      <w:r w:rsidR="008808A4">
        <w:rPr>
          <w:color w:val="000000" w:themeColor="text1"/>
          <w:sz w:val="22"/>
          <w:szCs w:val="22"/>
          <w:lang w:val="ru-RU" w:eastAsia="ro-MD"/>
        </w:rPr>
        <w:t>перед поставщиком защиты</w:t>
      </w:r>
      <w:r w:rsidR="00447F5A" w:rsidRPr="00447F5A">
        <w:rPr>
          <w:color w:val="000000" w:themeColor="text1"/>
          <w:sz w:val="22"/>
          <w:szCs w:val="22"/>
          <w:lang w:val="ru-RU" w:eastAsia="ro-MD"/>
        </w:rPr>
        <w:t xml:space="preserve">, и использовать, где это применимо, срок погашения (M) </w:t>
      </w:r>
      <w:r w:rsidR="008808A4" w:rsidRPr="003F2580">
        <w:rPr>
          <w:color w:val="000000" w:themeColor="text1"/>
          <w:sz w:val="22"/>
          <w:szCs w:val="22"/>
          <w:lang w:val="ru-RU" w:eastAsia="ro-MD"/>
        </w:rPr>
        <w:t>базовой подверженности, рассчитанный в соответствии с нормативным актом Национального банка Молдовы об отношении к кредитному риску для банков в рамках подхода, основанного на внутренних рейтингах</w:t>
      </w:r>
      <w:r w:rsidR="00447F5A" w:rsidRPr="00447F5A">
        <w:rPr>
          <w:color w:val="000000" w:themeColor="text1"/>
          <w:sz w:val="22"/>
          <w:szCs w:val="22"/>
          <w:lang w:val="ro-RO" w:eastAsia="ro-MD"/>
        </w:rPr>
        <w:t>.</w:t>
      </w:r>
    </w:p>
    <w:p w14:paraId="1503B60E" w14:textId="3B624CB9" w:rsidR="00334992" w:rsidRPr="00334992" w:rsidRDefault="009A79F2" w:rsidP="00D87955">
      <w:pPr>
        <w:jc w:val="both"/>
        <w:rPr>
          <w:color w:val="000000" w:themeColor="text1"/>
          <w:sz w:val="22"/>
          <w:szCs w:val="22"/>
          <w:lang w:val="ru-RU" w:eastAsia="ro-MD"/>
        </w:rPr>
      </w:pPr>
      <w:r w:rsidRPr="00884D1F">
        <w:rPr>
          <w:b/>
          <w:bCs/>
          <w:color w:val="000000" w:themeColor="text1"/>
          <w:sz w:val="22"/>
          <w:szCs w:val="22"/>
          <w:lang w:val="ro-RO" w:eastAsia="ro-MD"/>
        </w:rPr>
        <w:t>116</w:t>
      </w:r>
      <w:r w:rsidRPr="00884D1F">
        <w:rPr>
          <w:b/>
          <w:bCs/>
          <w:color w:val="000000" w:themeColor="text1"/>
          <w:sz w:val="22"/>
          <w:szCs w:val="22"/>
          <w:vertAlign w:val="superscript"/>
          <w:lang w:val="ro-RO" w:eastAsia="ro-MD"/>
        </w:rPr>
        <w:t>16</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334992" w:rsidRPr="00334992">
        <w:rPr>
          <w:color w:val="000000" w:themeColor="text1"/>
          <w:sz w:val="22"/>
          <w:szCs w:val="22"/>
          <w:lang w:val="ru-RU" w:eastAsia="ro-MD"/>
        </w:rPr>
        <w:t xml:space="preserve">Банки, применяющие подход IRB к сопоставимым прямым </w:t>
      </w:r>
      <w:r w:rsidR="00334992">
        <w:rPr>
          <w:color w:val="000000" w:themeColor="text1"/>
          <w:sz w:val="22"/>
          <w:szCs w:val="22"/>
          <w:lang w:val="ru-RU" w:eastAsia="ro-MD"/>
        </w:rPr>
        <w:t>подверженностям перед поставщиком защиты</w:t>
      </w:r>
      <w:r w:rsidR="00334992" w:rsidRPr="00334992">
        <w:rPr>
          <w:color w:val="000000" w:themeColor="text1"/>
          <w:sz w:val="22"/>
          <w:szCs w:val="22"/>
          <w:lang w:val="ru-RU" w:eastAsia="ro-MD"/>
        </w:rPr>
        <w:t xml:space="preserve">, используя метод, применимый для определения взвешенной по риску суммы </w:t>
      </w:r>
      <w:r w:rsidR="00334992">
        <w:rPr>
          <w:color w:val="000000" w:themeColor="text1"/>
          <w:sz w:val="22"/>
          <w:szCs w:val="22"/>
          <w:lang w:val="ru-RU" w:eastAsia="ro-MD"/>
        </w:rPr>
        <w:t xml:space="preserve">подверженностей из </w:t>
      </w:r>
      <w:r w:rsidR="00334992" w:rsidRPr="00334992">
        <w:rPr>
          <w:color w:val="000000" w:themeColor="text1"/>
          <w:sz w:val="22"/>
          <w:szCs w:val="22"/>
          <w:lang w:val="ru-RU" w:eastAsia="ro-MD"/>
        </w:rPr>
        <w:t xml:space="preserve"> специализированного финансирования, предусмотренного нормативным актом Национального банка Молдовы</w:t>
      </w:r>
      <w:r w:rsidR="00ED34CB">
        <w:rPr>
          <w:color w:val="000000" w:themeColor="text1"/>
          <w:sz w:val="22"/>
          <w:szCs w:val="22"/>
          <w:lang w:val="ru-RU" w:eastAsia="ro-MD"/>
        </w:rPr>
        <w:t xml:space="preserve"> </w:t>
      </w:r>
      <w:r w:rsidR="00334992" w:rsidRPr="00334992">
        <w:rPr>
          <w:color w:val="000000" w:themeColor="text1"/>
          <w:sz w:val="22"/>
          <w:szCs w:val="22"/>
          <w:lang w:val="ru-RU" w:eastAsia="ro-MD"/>
        </w:rPr>
        <w:t xml:space="preserve"> </w:t>
      </w:r>
      <w:r w:rsidR="00ED34CB" w:rsidRPr="003F2580">
        <w:rPr>
          <w:color w:val="000000" w:themeColor="text1"/>
          <w:sz w:val="22"/>
          <w:szCs w:val="22"/>
          <w:lang w:val="ru-RU" w:eastAsia="ro-MD"/>
        </w:rPr>
        <w:t xml:space="preserve">об отношении </w:t>
      </w:r>
      <w:r w:rsidR="000728FD">
        <w:rPr>
          <w:color w:val="000000" w:themeColor="text1"/>
          <w:sz w:val="22"/>
          <w:szCs w:val="22"/>
          <w:lang w:val="ru-RU" w:eastAsia="ro-MD"/>
        </w:rPr>
        <w:t>к кредитному риску в соответствии с подходом</w:t>
      </w:r>
      <w:r w:rsidR="00334992" w:rsidRPr="00334992">
        <w:rPr>
          <w:color w:val="000000" w:themeColor="text1"/>
          <w:sz w:val="22"/>
          <w:szCs w:val="22"/>
          <w:lang w:val="ru-RU" w:eastAsia="ro-MD"/>
        </w:rPr>
        <w:t xml:space="preserve"> моделей внутренней рейтинговой оценки, должны использовать коэффициент риска и ожидаемые потери, применимые к гарантированной части </w:t>
      </w:r>
      <w:r w:rsidR="00ED34CB">
        <w:rPr>
          <w:color w:val="000000" w:themeColor="text1"/>
          <w:sz w:val="22"/>
          <w:szCs w:val="22"/>
          <w:lang w:val="ru-RU" w:eastAsia="ro-MD"/>
        </w:rPr>
        <w:t>подверженности</w:t>
      </w:r>
      <w:r w:rsidR="00334992" w:rsidRPr="00334992">
        <w:rPr>
          <w:color w:val="000000" w:themeColor="text1"/>
          <w:sz w:val="22"/>
          <w:szCs w:val="22"/>
          <w:lang w:val="ru-RU" w:eastAsia="ro-MD"/>
        </w:rPr>
        <w:t xml:space="preserve">, соответствующей </w:t>
      </w:r>
      <w:r w:rsidR="00ED34CB">
        <w:rPr>
          <w:color w:val="000000" w:themeColor="text1"/>
          <w:sz w:val="22"/>
          <w:szCs w:val="22"/>
          <w:lang w:val="ru-RU" w:eastAsia="ro-MD"/>
        </w:rPr>
        <w:t xml:space="preserve">подверженностям из </w:t>
      </w:r>
      <w:r w:rsidR="00334992" w:rsidRPr="00334992">
        <w:rPr>
          <w:color w:val="000000" w:themeColor="text1"/>
          <w:sz w:val="22"/>
          <w:szCs w:val="22"/>
          <w:lang w:val="ru-RU" w:eastAsia="ro-MD"/>
        </w:rPr>
        <w:t xml:space="preserve"> специализированного финансирования, предусмотренного указанным нормативным актом.</w:t>
      </w:r>
    </w:p>
    <w:p w14:paraId="3B193432" w14:textId="5040FBF1" w:rsidR="00B716EB" w:rsidRPr="00315763" w:rsidRDefault="009A79F2" w:rsidP="00D87955">
      <w:pPr>
        <w:jc w:val="both"/>
        <w:rPr>
          <w:color w:val="000000" w:themeColor="text1"/>
          <w:sz w:val="22"/>
          <w:szCs w:val="22"/>
          <w:lang w:val="ru-RU" w:eastAsia="ro-MD"/>
        </w:rPr>
      </w:pPr>
      <w:r w:rsidRPr="00884D1F">
        <w:rPr>
          <w:b/>
          <w:bCs/>
          <w:color w:val="000000" w:themeColor="text1"/>
          <w:sz w:val="22"/>
          <w:szCs w:val="22"/>
          <w:lang w:val="ro-RO" w:eastAsia="ro-MD"/>
        </w:rPr>
        <w:t>116</w:t>
      </w:r>
      <w:r w:rsidRPr="00884D1F">
        <w:rPr>
          <w:b/>
          <w:bCs/>
          <w:color w:val="000000" w:themeColor="text1"/>
          <w:sz w:val="22"/>
          <w:szCs w:val="22"/>
          <w:vertAlign w:val="superscript"/>
          <w:lang w:val="ro-RO" w:eastAsia="ro-MD"/>
        </w:rPr>
        <w:t>17</w:t>
      </w:r>
      <w:r w:rsidRPr="00884D1F">
        <w:rPr>
          <w:b/>
          <w:bCs/>
          <w:color w:val="000000" w:themeColor="text1"/>
          <w:sz w:val="22"/>
          <w:szCs w:val="22"/>
          <w:lang w:val="ro-RO" w:eastAsia="ro-MD"/>
        </w:rPr>
        <w:t>.</w:t>
      </w:r>
      <w:r w:rsidRPr="00884D1F">
        <w:rPr>
          <w:color w:val="000000" w:themeColor="text1"/>
          <w:sz w:val="22"/>
          <w:szCs w:val="22"/>
          <w:lang w:val="ro-RO" w:eastAsia="ro-MD"/>
        </w:rPr>
        <w:t xml:space="preserve"> </w:t>
      </w:r>
      <w:r w:rsidR="00B716EB" w:rsidRPr="00B716EB">
        <w:rPr>
          <w:color w:val="000000" w:themeColor="text1"/>
          <w:sz w:val="22"/>
          <w:szCs w:val="22"/>
          <w:lang w:val="ru-MD" w:eastAsia="ro-MD"/>
        </w:rPr>
        <w:t xml:space="preserve">Для любой необеспеченной части стоимости </w:t>
      </w:r>
      <w:r w:rsidR="00C90A39">
        <w:rPr>
          <w:color w:val="000000" w:themeColor="text1"/>
          <w:sz w:val="22"/>
          <w:szCs w:val="22"/>
          <w:lang w:val="ru-MD" w:eastAsia="ro-MD"/>
        </w:rPr>
        <w:t>подверженности</w:t>
      </w:r>
      <w:r w:rsidR="00B716EB" w:rsidRPr="00B716EB">
        <w:rPr>
          <w:color w:val="000000" w:themeColor="text1"/>
          <w:sz w:val="22"/>
          <w:szCs w:val="22"/>
          <w:lang w:val="ru-MD" w:eastAsia="ro-MD"/>
        </w:rPr>
        <w:t xml:space="preserve"> (E) банки должны использовать коэффициент риска и ожидаемые убытки, соответствующие базово</w:t>
      </w:r>
      <w:r w:rsidR="00C90A39">
        <w:rPr>
          <w:color w:val="000000" w:themeColor="text1"/>
          <w:sz w:val="22"/>
          <w:szCs w:val="22"/>
          <w:lang w:val="ru-MD" w:eastAsia="ro-MD"/>
        </w:rPr>
        <w:t>й подверженности</w:t>
      </w:r>
      <w:r w:rsidR="00B716EB" w:rsidRPr="00B716EB">
        <w:rPr>
          <w:color w:val="000000" w:themeColor="text1"/>
          <w:sz w:val="22"/>
          <w:szCs w:val="22"/>
          <w:lang w:val="ru-MD" w:eastAsia="ro-MD"/>
        </w:rPr>
        <w:t xml:space="preserve">. Для расчета значений ожидаемых убытков, дефицита и избытка IRB, установленных в нормативном акте Национального банка Молдовы об </w:t>
      </w:r>
      <w:r w:rsidR="00C90A39" w:rsidRPr="003F2580">
        <w:rPr>
          <w:color w:val="000000" w:themeColor="text1"/>
          <w:sz w:val="22"/>
          <w:szCs w:val="22"/>
          <w:lang w:val="ru-RU" w:eastAsia="ro-MD"/>
        </w:rPr>
        <w:t>отношении к кредитному риску</w:t>
      </w:r>
      <w:r w:rsidR="00C90A39" w:rsidRPr="00334992">
        <w:rPr>
          <w:color w:val="000000" w:themeColor="text1"/>
          <w:sz w:val="22"/>
          <w:szCs w:val="22"/>
          <w:lang w:val="ru-RU" w:eastAsia="ro-MD"/>
        </w:rPr>
        <w:t xml:space="preserve"> </w:t>
      </w:r>
      <w:r w:rsidR="00B716EB" w:rsidRPr="00B716EB">
        <w:rPr>
          <w:color w:val="000000" w:themeColor="text1"/>
          <w:sz w:val="22"/>
          <w:szCs w:val="22"/>
          <w:lang w:val="ru-MD" w:eastAsia="ro-MD"/>
        </w:rPr>
        <w:t xml:space="preserve">для банков в рамках подхода, основанного на внутренних рейтингах, банки должны отнести к необеспеченной части стоимости </w:t>
      </w:r>
      <w:r w:rsidR="00C90A39">
        <w:rPr>
          <w:color w:val="000000" w:themeColor="text1"/>
          <w:sz w:val="22"/>
          <w:szCs w:val="22"/>
          <w:lang w:val="ru-MD" w:eastAsia="ro-MD"/>
        </w:rPr>
        <w:t>подверженности</w:t>
      </w:r>
      <w:r w:rsidR="00C90A39" w:rsidRPr="00B716EB">
        <w:rPr>
          <w:color w:val="000000" w:themeColor="text1"/>
          <w:sz w:val="22"/>
          <w:szCs w:val="22"/>
          <w:lang w:val="ru-MD" w:eastAsia="ro-MD"/>
        </w:rPr>
        <w:t xml:space="preserve"> </w:t>
      </w:r>
      <w:r w:rsidR="00B716EB" w:rsidRPr="00B716EB">
        <w:rPr>
          <w:color w:val="000000" w:themeColor="text1"/>
          <w:sz w:val="22"/>
          <w:szCs w:val="22"/>
          <w:lang w:val="ru-MD" w:eastAsia="ro-MD"/>
        </w:rPr>
        <w:t xml:space="preserve">любые общие или специфические корректировки кредитного риска или любые дополнительные корректировки стоимости в соответствии с Регламентом 109/2018, связанные с деятельностью банка, не относящейся к торговому портфелю, или любое другое уменьшение собственных средств, связанное с кредитным риском, за исключением вычетов в отношении применимой суммы недостаточного покрытия </w:t>
      </w:r>
      <w:r w:rsidR="00B55ABF">
        <w:rPr>
          <w:color w:val="000000" w:themeColor="text1"/>
          <w:sz w:val="22"/>
          <w:szCs w:val="22"/>
          <w:lang w:val="ru-MD" w:eastAsia="ro-MD"/>
        </w:rPr>
        <w:t>неблагоприятных подверженностей</w:t>
      </w:r>
      <w:r w:rsidR="00B716EB" w:rsidRPr="00B716EB">
        <w:rPr>
          <w:color w:val="000000" w:themeColor="text1"/>
          <w:sz w:val="22"/>
          <w:szCs w:val="22"/>
          <w:lang w:val="ru-MD" w:eastAsia="ro-MD"/>
        </w:rPr>
        <w:t>, произведенных в соответствии с Регламентом № 109/2018.</w:t>
      </w:r>
      <w:r w:rsidR="00B55ABF">
        <w:rPr>
          <w:color w:val="000000" w:themeColor="text1"/>
          <w:sz w:val="22"/>
          <w:szCs w:val="22"/>
          <w:lang w:val="ru-MD" w:eastAsia="ro-MD"/>
        </w:rPr>
        <w:t>»</w:t>
      </w:r>
      <w:r w:rsidR="00315763" w:rsidRPr="00884D1F">
        <w:rPr>
          <w:color w:val="000000" w:themeColor="text1"/>
          <w:sz w:val="22"/>
          <w:szCs w:val="22"/>
          <w:lang w:val="ro-RO" w:eastAsia="ro-MD"/>
        </w:rPr>
        <w:t>.</w:t>
      </w:r>
    </w:p>
    <w:p w14:paraId="1B0CD839" w14:textId="1228AEFE" w:rsidR="000B2CBE" w:rsidRPr="001979EB" w:rsidRDefault="00B55ABF" w:rsidP="00F7502D">
      <w:pPr>
        <w:pStyle w:val="ListParagraph"/>
        <w:numPr>
          <w:ilvl w:val="1"/>
          <w:numId w:val="27"/>
        </w:numPr>
        <w:tabs>
          <w:tab w:val="left" w:pos="567"/>
        </w:tabs>
        <w:spacing w:before="80"/>
        <w:ind w:left="0" w:firstLine="567"/>
        <w:contextualSpacing w:val="0"/>
        <w:jc w:val="both"/>
        <w:rPr>
          <w:color w:val="000000" w:themeColor="text1"/>
          <w:sz w:val="22"/>
          <w:szCs w:val="22"/>
          <w:lang w:val="ru-RU"/>
        </w:rPr>
      </w:pPr>
      <w:r w:rsidRPr="001979EB">
        <w:rPr>
          <w:color w:val="000000" w:themeColor="text1"/>
          <w:sz w:val="22"/>
          <w:szCs w:val="22"/>
          <w:lang w:val="ru-RU" w:eastAsia="ro-MD"/>
        </w:rPr>
        <w:t>Пункт</w:t>
      </w:r>
      <w:r w:rsidR="00754EA6" w:rsidRPr="001979EB">
        <w:rPr>
          <w:color w:val="000000" w:themeColor="text1"/>
          <w:sz w:val="22"/>
          <w:szCs w:val="22"/>
          <w:lang w:val="ru-RU" w:eastAsia="ro-MD"/>
        </w:rPr>
        <w:t xml:space="preserve"> 119</w:t>
      </w:r>
      <w:r w:rsidR="00754EA6" w:rsidRPr="001979EB">
        <w:rPr>
          <w:sz w:val="22"/>
          <w:szCs w:val="22"/>
          <w:lang w:val="ru-RU"/>
        </w:rPr>
        <w:t xml:space="preserve"> </w:t>
      </w:r>
      <w:r w:rsidRPr="001979EB">
        <w:rPr>
          <w:sz w:val="22"/>
          <w:szCs w:val="22"/>
          <w:lang w:val="ru-RU"/>
        </w:rPr>
        <w:t xml:space="preserve">дополнить </w:t>
      </w:r>
      <w:r w:rsidR="001979EB" w:rsidRPr="001979EB">
        <w:rPr>
          <w:sz w:val="22"/>
          <w:szCs w:val="22"/>
          <w:lang w:val="ru-RU"/>
        </w:rPr>
        <w:t>текстом «</w:t>
      </w:r>
      <w:r w:rsidR="00CF2C90" w:rsidRPr="001979EB">
        <w:rPr>
          <w:color w:val="000000" w:themeColor="text1"/>
          <w:sz w:val="22"/>
          <w:szCs w:val="22"/>
          <w:lang w:val="ru-RU" w:eastAsia="ro-MD"/>
        </w:rPr>
        <w:t>или если это краткосрочная подверженность, срок погашения которой (M), рассчитанный в соответствии с нормативным актом Национального банка Молдовы об отношении к кредитному риску для банков по модели внутреннего рейтинга, ограничен одним днем, а не одним годом.</w:t>
      </w:r>
      <w:r w:rsidR="001979EB" w:rsidRPr="001979EB">
        <w:rPr>
          <w:color w:val="000000" w:themeColor="text1"/>
          <w:sz w:val="22"/>
          <w:szCs w:val="22"/>
          <w:lang w:val="ru-RU" w:eastAsia="ro-MD"/>
        </w:rPr>
        <w:t>»</w:t>
      </w:r>
      <w:r w:rsidR="00754EA6" w:rsidRPr="001979EB">
        <w:rPr>
          <w:color w:val="000000" w:themeColor="text1"/>
          <w:sz w:val="22"/>
          <w:szCs w:val="22"/>
          <w:lang w:val="ru-RU" w:eastAsia="ro-MD"/>
        </w:rPr>
        <w:t>.</w:t>
      </w:r>
    </w:p>
    <w:p w14:paraId="29CEB5BB" w14:textId="098BE626" w:rsidR="000B2CBE" w:rsidRPr="00884D1F" w:rsidRDefault="001979EB" w:rsidP="00F7502D">
      <w:pPr>
        <w:pStyle w:val="ListParagraph"/>
        <w:numPr>
          <w:ilvl w:val="1"/>
          <w:numId w:val="27"/>
        </w:numPr>
        <w:tabs>
          <w:tab w:val="left" w:pos="567"/>
        </w:tabs>
        <w:spacing w:before="80"/>
        <w:ind w:left="0" w:firstLine="567"/>
        <w:contextualSpacing w:val="0"/>
        <w:jc w:val="both"/>
        <w:rPr>
          <w:color w:val="000000" w:themeColor="text1"/>
          <w:sz w:val="22"/>
          <w:szCs w:val="22"/>
          <w:lang w:val="ro-RO"/>
        </w:rPr>
      </w:pPr>
      <w:r>
        <w:rPr>
          <w:color w:val="000000" w:themeColor="text1"/>
          <w:sz w:val="22"/>
          <w:szCs w:val="22"/>
          <w:lang w:val="ru-RU" w:eastAsia="ro-MD"/>
        </w:rPr>
        <w:t>Раздел</w:t>
      </w:r>
      <w:r w:rsidR="00754EA6" w:rsidRPr="00884D1F">
        <w:rPr>
          <w:color w:val="000000" w:themeColor="text1"/>
          <w:sz w:val="22"/>
          <w:szCs w:val="22"/>
          <w:lang w:val="ro-RO" w:eastAsia="ro-MD"/>
        </w:rPr>
        <w:t xml:space="preserve"> VI </w:t>
      </w:r>
      <w:r>
        <w:rPr>
          <w:color w:val="000000" w:themeColor="text1"/>
          <w:sz w:val="22"/>
          <w:szCs w:val="22"/>
          <w:lang w:val="ru-RU" w:eastAsia="ro-MD"/>
        </w:rPr>
        <w:t>признать утратившим силу</w:t>
      </w:r>
      <w:r w:rsidR="00754EA6" w:rsidRPr="00884D1F">
        <w:rPr>
          <w:color w:val="000000" w:themeColor="text1"/>
          <w:sz w:val="22"/>
          <w:szCs w:val="22"/>
          <w:lang w:val="ro-RO" w:eastAsia="ro-MD"/>
        </w:rPr>
        <w:t>.</w:t>
      </w:r>
    </w:p>
    <w:bookmarkEnd w:id="4"/>
    <w:p w14:paraId="5B240657" w14:textId="3B5D10E0" w:rsidR="00F7502D" w:rsidRPr="00697B8C" w:rsidRDefault="0072637A" w:rsidP="002C53C5">
      <w:pPr>
        <w:pStyle w:val="ListParagraph"/>
        <w:numPr>
          <w:ilvl w:val="0"/>
          <w:numId w:val="27"/>
        </w:numPr>
        <w:tabs>
          <w:tab w:val="left" w:pos="0"/>
          <w:tab w:val="left" w:pos="567"/>
        </w:tabs>
        <w:spacing w:before="80" w:after="80"/>
        <w:ind w:left="0" w:firstLine="567"/>
        <w:contextualSpacing w:val="0"/>
        <w:jc w:val="both"/>
        <w:rPr>
          <w:color w:val="000000" w:themeColor="text1"/>
          <w:sz w:val="22"/>
          <w:szCs w:val="22"/>
          <w:lang w:val="ru-RU"/>
        </w:rPr>
      </w:pPr>
      <w:r w:rsidRPr="00697B8C">
        <w:rPr>
          <w:color w:val="000000" w:themeColor="text1"/>
          <w:sz w:val="22"/>
          <w:szCs w:val="22"/>
          <w:lang w:val="ru-RU"/>
        </w:rPr>
        <w:lastRenderedPageBreak/>
        <w:t xml:space="preserve">Настоящее постановление вступает в силу 1 июля 2027 года, за исключением пунктов </w:t>
      </w:r>
      <w:r w:rsidR="00697B8C" w:rsidRPr="00697B8C">
        <w:rPr>
          <w:color w:val="000000" w:themeColor="text1"/>
          <w:sz w:val="22"/>
          <w:szCs w:val="22"/>
          <w:lang w:val="ru-RU"/>
        </w:rPr>
        <w:t>1.17.4, 1.24, 1.55.1, 1.55.2, 1.64.1 в части, касающейся элементов, представляющих позиции в секьюритизациях, и пункта 1.24 (в части, касающейся пунктов 34</w:t>
      </w:r>
      <w:r w:rsidR="00697B8C" w:rsidRPr="00697B8C">
        <w:rPr>
          <w:color w:val="000000" w:themeColor="text1"/>
          <w:sz w:val="22"/>
          <w:szCs w:val="22"/>
          <w:vertAlign w:val="superscript"/>
          <w:lang w:val="ru-RU"/>
        </w:rPr>
        <w:t>4</w:t>
      </w:r>
      <w:r w:rsidR="00697B8C" w:rsidRPr="00697B8C">
        <w:rPr>
          <w:color w:val="000000" w:themeColor="text1"/>
          <w:sz w:val="22"/>
          <w:szCs w:val="22"/>
          <w:lang w:val="ru-RU"/>
        </w:rPr>
        <w:t>–34</w:t>
      </w:r>
      <w:r w:rsidR="00697B8C" w:rsidRPr="00697B8C">
        <w:rPr>
          <w:color w:val="000000" w:themeColor="text1"/>
          <w:sz w:val="22"/>
          <w:szCs w:val="22"/>
          <w:vertAlign w:val="superscript"/>
          <w:lang w:val="ru-RU"/>
        </w:rPr>
        <w:t>8</w:t>
      </w:r>
      <w:r w:rsidR="00697B8C" w:rsidRPr="00697B8C">
        <w:rPr>
          <w:color w:val="000000" w:themeColor="text1"/>
          <w:sz w:val="22"/>
          <w:szCs w:val="22"/>
          <w:lang w:val="ru-RU"/>
        </w:rPr>
        <w:t xml:space="preserve"> Регламента, относящихся к информации, предоставляемой на основании специальных обязательств по отчетности), которые вступают в силу 1 января 2028 года, а также пунктов 1.25.1, 1.25. 2, 1.26 (в части, касающейся пункта 36 подпункта 3) Регламента), которые вступают </w:t>
      </w:r>
      <w:r w:rsidRPr="00697B8C">
        <w:rPr>
          <w:color w:val="000000" w:themeColor="text1"/>
          <w:sz w:val="22"/>
          <w:szCs w:val="22"/>
          <w:lang w:val="ru-RU"/>
        </w:rPr>
        <w:t>в силу со дня вступления в силу Договора о присоединении Республики Молдова к Европейскому союзу</w:t>
      </w:r>
      <w:r w:rsidR="00F7502D" w:rsidRPr="00697B8C">
        <w:rPr>
          <w:color w:val="000000" w:themeColor="text1"/>
          <w:sz w:val="22"/>
          <w:szCs w:val="22"/>
          <w:lang w:val="ru-RU"/>
        </w:rPr>
        <w:t>.</w:t>
      </w:r>
    </w:p>
    <w:sectPr w:rsidR="00F7502D" w:rsidRPr="00697B8C" w:rsidSect="000A0A0B">
      <w:headerReference w:type="even" r:id="rId20"/>
      <w:headerReference w:type="default" r:id="rId21"/>
      <w:footerReference w:type="even" r:id="rId22"/>
      <w:footerReference w:type="default" r:id="rId23"/>
      <w:headerReference w:type="first" r:id="rId24"/>
      <w:footerReference w:type="first" r:id="rId25"/>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D12A7" w14:textId="77777777" w:rsidR="009731EB" w:rsidRDefault="009731EB" w:rsidP="00D5426C">
      <w:r>
        <w:separator/>
      </w:r>
    </w:p>
  </w:endnote>
  <w:endnote w:type="continuationSeparator" w:id="0">
    <w:p w14:paraId="1458F10B" w14:textId="77777777" w:rsidR="009731EB" w:rsidRDefault="009731EB"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3104" w14:textId="77777777" w:rsidR="009731EB" w:rsidRDefault="009731EB" w:rsidP="00D5426C">
      <w:r>
        <w:separator/>
      </w:r>
    </w:p>
  </w:footnote>
  <w:footnote w:type="continuationSeparator" w:id="0">
    <w:p w14:paraId="2C19E641" w14:textId="77777777" w:rsidR="009731EB" w:rsidRDefault="009731EB"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6" w:name="TITUS1HeaderEvenPages"/>
    <w:r>
      <w:t xml:space="preserve"> </w:t>
    </w:r>
  </w:p>
  <w:bookmarkEnd w:id="6"/>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2379"/>
    <w:multiLevelType w:val="hybridMultilevel"/>
    <w:tmpl w:val="13668678"/>
    <w:lvl w:ilvl="0" w:tplc="AFCCBE18">
      <w:start w:val="1"/>
      <w:numFmt w:val="decimal"/>
      <w:suff w:val="space"/>
      <w:lvlText w:val="%1)"/>
      <w:lvlJc w:val="left"/>
      <w:pPr>
        <w:ind w:left="927" w:hanging="360"/>
      </w:pPr>
      <w:rPr>
        <w:rFonts w:hint="default"/>
      </w:rPr>
    </w:lvl>
    <w:lvl w:ilvl="1" w:tplc="08180019">
      <w:start w:val="1"/>
      <w:numFmt w:val="lowerLetter"/>
      <w:lvlText w:val="%2."/>
      <w:lvlJc w:val="left"/>
      <w:pPr>
        <w:ind w:left="1647" w:hanging="360"/>
      </w:pPr>
    </w:lvl>
    <w:lvl w:ilvl="2" w:tplc="0818001B">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197F4B90"/>
    <w:multiLevelType w:val="hybridMultilevel"/>
    <w:tmpl w:val="2A0C7D74"/>
    <w:lvl w:ilvl="0" w:tplc="05EC9A26">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EF3816"/>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1" w15:restartNumberingAfterBreak="0">
    <w:nsid w:val="29A9627F"/>
    <w:multiLevelType w:val="hybridMultilevel"/>
    <w:tmpl w:val="204ED19C"/>
    <w:lvl w:ilvl="0" w:tplc="B79A1572">
      <w:start w:val="1"/>
      <w:numFmt w:val="decimal"/>
      <w:lvlText w:val="%1)"/>
      <w:lvlJc w:val="left"/>
      <w:pPr>
        <w:ind w:left="930" w:hanging="57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C8C2FA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A379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F87A3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345D8B"/>
    <w:multiLevelType w:val="multilevel"/>
    <w:tmpl w:val="24ECC6FC"/>
    <w:lvl w:ilvl="0">
      <w:start w:val="1"/>
      <w:numFmt w:val="decimal"/>
      <w:lvlText w:val="%1."/>
      <w:lvlJc w:val="center"/>
      <w:pPr>
        <w:ind w:left="227" w:firstLine="62"/>
      </w:pPr>
      <w:rPr>
        <w:rFonts w:hint="default"/>
        <w:b/>
        <w:bCs/>
      </w:rPr>
    </w:lvl>
    <w:lvl w:ilvl="1">
      <w:start w:val="1"/>
      <w:numFmt w:val="decimal"/>
      <w:suff w:val="space"/>
      <w:lvlText w:val="%1.%2."/>
      <w:lvlJc w:val="left"/>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16"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9"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0C73B74"/>
    <w:multiLevelType w:val="multilevel"/>
    <w:tmpl w:val="24ECC6FC"/>
    <w:lvl w:ilvl="0">
      <w:start w:val="1"/>
      <w:numFmt w:val="decimal"/>
      <w:lvlText w:val="%1."/>
      <w:lvlJc w:val="center"/>
      <w:pPr>
        <w:ind w:left="222" w:firstLine="62"/>
      </w:pPr>
      <w:rPr>
        <w:rFonts w:hint="default"/>
        <w:b/>
        <w:bCs/>
      </w:rPr>
    </w:lvl>
    <w:lvl w:ilvl="1">
      <w:start w:val="1"/>
      <w:numFmt w:val="decimal"/>
      <w:suff w:val="space"/>
      <w:lvlText w:val="%1.%2."/>
      <w:lvlJc w:val="left"/>
      <w:pPr>
        <w:ind w:left="789" w:firstLine="62"/>
      </w:pPr>
      <w:rPr>
        <w:rFonts w:hint="default"/>
        <w:b/>
        <w:bCs/>
      </w:rPr>
    </w:lvl>
    <w:lvl w:ilvl="2">
      <w:start w:val="1"/>
      <w:numFmt w:val="decimal"/>
      <w:suff w:val="space"/>
      <w:lvlText w:val="%1.%2.%3."/>
      <w:lvlJc w:val="left"/>
      <w:pPr>
        <w:ind w:left="364"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abstractNum w:abstractNumId="21"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D32EED"/>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5" w15:restartNumberingAfterBreak="0">
    <w:nsid w:val="5C223B6F"/>
    <w:multiLevelType w:val="hybridMultilevel"/>
    <w:tmpl w:val="F1F87536"/>
    <w:lvl w:ilvl="0" w:tplc="945AA9C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0"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1" w15:restartNumberingAfterBreak="0">
    <w:nsid w:val="670B6DC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abstractNum w:abstractNumId="36" w15:restartNumberingAfterBreak="0">
    <w:nsid w:val="7FF07002"/>
    <w:multiLevelType w:val="multilevel"/>
    <w:tmpl w:val="2162083C"/>
    <w:lvl w:ilvl="0">
      <w:start w:val="1"/>
      <w:numFmt w:val="decimal"/>
      <w:lvlText w:val="%1."/>
      <w:lvlJc w:val="center"/>
      <w:pPr>
        <w:ind w:left="227" w:firstLine="62"/>
      </w:pPr>
      <w:rPr>
        <w:rFonts w:hint="default"/>
        <w:b/>
        <w:bCs/>
      </w:rPr>
    </w:lvl>
    <w:lvl w:ilvl="1">
      <w:start w:val="1"/>
      <w:numFmt w:val="decimal"/>
      <w:suff w:val="space"/>
      <w:lvlText w:val="%1.%2."/>
      <w:lvlJc w:val="center"/>
      <w:pPr>
        <w:ind w:left="227" w:firstLine="62"/>
      </w:pPr>
      <w:rPr>
        <w:rFonts w:hint="default"/>
        <w:b/>
        <w:bCs/>
      </w:rPr>
    </w:lvl>
    <w:lvl w:ilvl="2">
      <w:start w:val="1"/>
      <w:numFmt w:val="decimal"/>
      <w:suff w:val="space"/>
      <w:lvlText w:val="%1.%2.%3."/>
      <w:lvlJc w:val="left"/>
      <w:pPr>
        <w:ind w:left="227" w:firstLine="62"/>
      </w:pPr>
      <w:rPr>
        <w:rFonts w:hint="default"/>
        <w:b/>
        <w:bCs/>
      </w:rPr>
    </w:lvl>
    <w:lvl w:ilvl="3">
      <w:start w:val="1"/>
      <w:numFmt w:val="decimal"/>
      <w:lvlText w:val="%1.%2.%3.%4."/>
      <w:lvlJc w:val="left"/>
      <w:pPr>
        <w:ind w:left="227" w:firstLine="62"/>
      </w:pPr>
      <w:rPr>
        <w:rFonts w:hint="default"/>
      </w:rPr>
    </w:lvl>
    <w:lvl w:ilvl="4">
      <w:start w:val="1"/>
      <w:numFmt w:val="decimal"/>
      <w:lvlText w:val="%1.%2.%3.%4.%5."/>
      <w:lvlJc w:val="left"/>
      <w:pPr>
        <w:ind w:left="227" w:firstLine="62"/>
      </w:pPr>
      <w:rPr>
        <w:rFonts w:hint="default"/>
      </w:rPr>
    </w:lvl>
    <w:lvl w:ilvl="5">
      <w:start w:val="1"/>
      <w:numFmt w:val="decimal"/>
      <w:lvlText w:val="%1.%2.%3.%4.%5.%6."/>
      <w:lvlJc w:val="left"/>
      <w:pPr>
        <w:ind w:left="227" w:firstLine="62"/>
      </w:pPr>
      <w:rPr>
        <w:rFonts w:hint="default"/>
      </w:rPr>
    </w:lvl>
    <w:lvl w:ilvl="6">
      <w:start w:val="1"/>
      <w:numFmt w:val="decimal"/>
      <w:lvlText w:val="%1.%2.%3.%4.%5.%6.%7."/>
      <w:lvlJc w:val="left"/>
      <w:pPr>
        <w:ind w:left="227" w:firstLine="62"/>
      </w:pPr>
      <w:rPr>
        <w:rFonts w:hint="default"/>
      </w:rPr>
    </w:lvl>
    <w:lvl w:ilvl="7">
      <w:start w:val="1"/>
      <w:numFmt w:val="decimal"/>
      <w:lvlText w:val="%1.%2.%3.%4.%5.%6.%7.%8."/>
      <w:lvlJc w:val="left"/>
      <w:pPr>
        <w:ind w:left="227" w:firstLine="62"/>
      </w:pPr>
      <w:rPr>
        <w:rFonts w:hint="default"/>
      </w:rPr>
    </w:lvl>
    <w:lvl w:ilvl="8">
      <w:start w:val="1"/>
      <w:numFmt w:val="decimal"/>
      <w:lvlText w:val="%1.%2.%3.%4.%5.%6.%7.%8.%9."/>
      <w:lvlJc w:val="left"/>
      <w:pPr>
        <w:ind w:left="227" w:firstLine="62"/>
      </w:pPr>
      <w:rPr>
        <w:rFonts w:hint="default"/>
      </w:rPr>
    </w:lvl>
  </w:abstractNum>
  <w:num w:numId="1" w16cid:durableId="1100952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2"/>
  </w:num>
  <w:num w:numId="3" w16cid:durableId="741291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0"/>
  </w:num>
  <w:num w:numId="13" w16cid:durableId="1370764555">
    <w:abstractNumId w:val="1"/>
  </w:num>
  <w:num w:numId="14" w16cid:durableId="140847304">
    <w:abstractNumId w:val="3"/>
  </w:num>
  <w:num w:numId="15" w16cid:durableId="2118869199">
    <w:abstractNumId w:val="16"/>
  </w:num>
  <w:num w:numId="16" w16cid:durableId="1236402705">
    <w:abstractNumId w:val="6"/>
  </w:num>
  <w:num w:numId="17" w16cid:durableId="595210150">
    <w:abstractNumId w:val="34"/>
  </w:num>
  <w:num w:numId="18" w16cid:durableId="1710298874">
    <w:abstractNumId w:val="27"/>
  </w:num>
  <w:num w:numId="19" w16cid:durableId="547568932">
    <w:abstractNumId w:val="7"/>
  </w:num>
  <w:num w:numId="20" w16cid:durableId="1677152211">
    <w:abstractNumId w:val="0"/>
  </w:num>
  <w:num w:numId="21" w16cid:durableId="1915623828">
    <w:abstractNumId w:val="4"/>
  </w:num>
  <w:num w:numId="22" w16cid:durableId="283539057">
    <w:abstractNumId w:val="17"/>
  </w:num>
  <w:num w:numId="23" w16cid:durableId="1503735004">
    <w:abstractNumId w:val="28"/>
  </w:num>
  <w:num w:numId="24" w16cid:durableId="556627740">
    <w:abstractNumId w:val="26"/>
  </w:num>
  <w:num w:numId="25" w16cid:durableId="1084183317">
    <w:abstractNumId w:val="18"/>
  </w:num>
  <w:num w:numId="26" w16cid:durableId="1341809678">
    <w:abstractNumId w:val="5"/>
  </w:num>
  <w:num w:numId="27" w16cid:durableId="1062093486">
    <w:abstractNumId w:val="20"/>
  </w:num>
  <w:num w:numId="28" w16cid:durableId="1351371882">
    <w:abstractNumId w:val="25"/>
  </w:num>
  <w:num w:numId="29" w16cid:durableId="563100354">
    <w:abstractNumId w:val="11"/>
  </w:num>
  <w:num w:numId="30" w16cid:durableId="2060282042">
    <w:abstractNumId w:val="8"/>
  </w:num>
  <w:num w:numId="31" w16cid:durableId="412700447">
    <w:abstractNumId w:val="2"/>
  </w:num>
  <w:num w:numId="32" w16cid:durableId="1700861896">
    <w:abstractNumId w:val="10"/>
  </w:num>
  <w:num w:numId="33" w16cid:durableId="2061980253">
    <w:abstractNumId w:val="36"/>
  </w:num>
  <w:num w:numId="34" w16cid:durableId="469136039">
    <w:abstractNumId w:val="14"/>
  </w:num>
  <w:num w:numId="35" w16cid:durableId="625627603">
    <w:abstractNumId w:val="23"/>
  </w:num>
  <w:num w:numId="36" w16cid:durableId="1793162598">
    <w:abstractNumId w:val="15"/>
  </w:num>
  <w:num w:numId="37" w16cid:durableId="554007267">
    <w:abstractNumId w:val="13"/>
  </w:num>
  <w:num w:numId="38" w16cid:durableId="1871911474">
    <w:abstractNumId w:val="12"/>
  </w:num>
  <w:num w:numId="39" w16cid:durableId="206027901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8D0"/>
    <w:rsid w:val="00000A1E"/>
    <w:rsid w:val="0000287C"/>
    <w:rsid w:val="00002DD2"/>
    <w:rsid w:val="00004C9C"/>
    <w:rsid w:val="00004E08"/>
    <w:rsid w:val="0000535E"/>
    <w:rsid w:val="00005CC0"/>
    <w:rsid w:val="000062E8"/>
    <w:rsid w:val="0000731F"/>
    <w:rsid w:val="00007861"/>
    <w:rsid w:val="00010541"/>
    <w:rsid w:val="00012136"/>
    <w:rsid w:val="00013153"/>
    <w:rsid w:val="00013D15"/>
    <w:rsid w:val="00015315"/>
    <w:rsid w:val="0001535B"/>
    <w:rsid w:val="00015A00"/>
    <w:rsid w:val="00015F9E"/>
    <w:rsid w:val="00016213"/>
    <w:rsid w:val="0001648A"/>
    <w:rsid w:val="00016FD7"/>
    <w:rsid w:val="000202E2"/>
    <w:rsid w:val="00022040"/>
    <w:rsid w:val="00022961"/>
    <w:rsid w:val="00024254"/>
    <w:rsid w:val="0002449C"/>
    <w:rsid w:val="00024745"/>
    <w:rsid w:val="000249DD"/>
    <w:rsid w:val="00024D44"/>
    <w:rsid w:val="0002638A"/>
    <w:rsid w:val="000271BA"/>
    <w:rsid w:val="00030A65"/>
    <w:rsid w:val="00031C90"/>
    <w:rsid w:val="0003239F"/>
    <w:rsid w:val="0003245D"/>
    <w:rsid w:val="00033BE2"/>
    <w:rsid w:val="0003402E"/>
    <w:rsid w:val="000340B6"/>
    <w:rsid w:val="00034D45"/>
    <w:rsid w:val="00034ECD"/>
    <w:rsid w:val="000363F6"/>
    <w:rsid w:val="000365C1"/>
    <w:rsid w:val="00036A2E"/>
    <w:rsid w:val="000374C5"/>
    <w:rsid w:val="00040571"/>
    <w:rsid w:val="000415C8"/>
    <w:rsid w:val="00041A1F"/>
    <w:rsid w:val="00041B25"/>
    <w:rsid w:val="00042580"/>
    <w:rsid w:val="00042943"/>
    <w:rsid w:val="00042EFC"/>
    <w:rsid w:val="00043F32"/>
    <w:rsid w:val="00045D87"/>
    <w:rsid w:val="00046430"/>
    <w:rsid w:val="000465A3"/>
    <w:rsid w:val="00046928"/>
    <w:rsid w:val="000469AC"/>
    <w:rsid w:val="00046E44"/>
    <w:rsid w:val="0004725A"/>
    <w:rsid w:val="000477DB"/>
    <w:rsid w:val="000505D9"/>
    <w:rsid w:val="00050E7E"/>
    <w:rsid w:val="0005138E"/>
    <w:rsid w:val="000513F6"/>
    <w:rsid w:val="000530BD"/>
    <w:rsid w:val="00053365"/>
    <w:rsid w:val="000539D1"/>
    <w:rsid w:val="0005444E"/>
    <w:rsid w:val="000554A3"/>
    <w:rsid w:val="000567C0"/>
    <w:rsid w:val="00057B60"/>
    <w:rsid w:val="00057EB7"/>
    <w:rsid w:val="00060555"/>
    <w:rsid w:val="000606BA"/>
    <w:rsid w:val="00061719"/>
    <w:rsid w:val="000638E9"/>
    <w:rsid w:val="00064598"/>
    <w:rsid w:val="00064BD9"/>
    <w:rsid w:val="00066014"/>
    <w:rsid w:val="0006661B"/>
    <w:rsid w:val="000667E3"/>
    <w:rsid w:val="00066F44"/>
    <w:rsid w:val="000670EF"/>
    <w:rsid w:val="00067710"/>
    <w:rsid w:val="00070A8A"/>
    <w:rsid w:val="0007234C"/>
    <w:rsid w:val="000723FD"/>
    <w:rsid w:val="000728FD"/>
    <w:rsid w:val="00072CC5"/>
    <w:rsid w:val="000730E4"/>
    <w:rsid w:val="000739D8"/>
    <w:rsid w:val="000748E8"/>
    <w:rsid w:val="00075419"/>
    <w:rsid w:val="00075C13"/>
    <w:rsid w:val="00075C2D"/>
    <w:rsid w:val="0007653E"/>
    <w:rsid w:val="00077162"/>
    <w:rsid w:val="000771C6"/>
    <w:rsid w:val="0007732E"/>
    <w:rsid w:val="00077C4D"/>
    <w:rsid w:val="00080147"/>
    <w:rsid w:val="000804F1"/>
    <w:rsid w:val="000807AB"/>
    <w:rsid w:val="00080984"/>
    <w:rsid w:val="00083C8C"/>
    <w:rsid w:val="00084DA9"/>
    <w:rsid w:val="0008501B"/>
    <w:rsid w:val="00085A17"/>
    <w:rsid w:val="00085B0E"/>
    <w:rsid w:val="0008627B"/>
    <w:rsid w:val="000862F5"/>
    <w:rsid w:val="00086450"/>
    <w:rsid w:val="000868D8"/>
    <w:rsid w:val="00090169"/>
    <w:rsid w:val="00090870"/>
    <w:rsid w:val="00091C2F"/>
    <w:rsid w:val="00092360"/>
    <w:rsid w:val="00092B8E"/>
    <w:rsid w:val="00095646"/>
    <w:rsid w:val="00095E2F"/>
    <w:rsid w:val="000964CF"/>
    <w:rsid w:val="00097AA5"/>
    <w:rsid w:val="000A0A0B"/>
    <w:rsid w:val="000A11E4"/>
    <w:rsid w:val="000A3B8D"/>
    <w:rsid w:val="000A4291"/>
    <w:rsid w:val="000A4376"/>
    <w:rsid w:val="000A465A"/>
    <w:rsid w:val="000A47CB"/>
    <w:rsid w:val="000A4CB1"/>
    <w:rsid w:val="000A5A0D"/>
    <w:rsid w:val="000A6F35"/>
    <w:rsid w:val="000A7696"/>
    <w:rsid w:val="000A7BAC"/>
    <w:rsid w:val="000B0C0F"/>
    <w:rsid w:val="000B10CF"/>
    <w:rsid w:val="000B1257"/>
    <w:rsid w:val="000B2510"/>
    <w:rsid w:val="000B2CBE"/>
    <w:rsid w:val="000B355C"/>
    <w:rsid w:val="000B3CD0"/>
    <w:rsid w:val="000B4730"/>
    <w:rsid w:val="000B49BD"/>
    <w:rsid w:val="000B4B74"/>
    <w:rsid w:val="000B65F5"/>
    <w:rsid w:val="000B68EF"/>
    <w:rsid w:val="000B6B71"/>
    <w:rsid w:val="000B7384"/>
    <w:rsid w:val="000B7B64"/>
    <w:rsid w:val="000B7F40"/>
    <w:rsid w:val="000C0050"/>
    <w:rsid w:val="000C0C20"/>
    <w:rsid w:val="000C2546"/>
    <w:rsid w:val="000C4044"/>
    <w:rsid w:val="000C50ED"/>
    <w:rsid w:val="000C5616"/>
    <w:rsid w:val="000C5FD6"/>
    <w:rsid w:val="000C6139"/>
    <w:rsid w:val="000C632E"/>
    <w:rsid w:val="000C7EE0"/>
    <w:rsid w:val="000D166D"/>
    <w:rsid w:val="000D2636"/>
    <w:rsid w:val="000D26A9"/>
    <w:rsid w:val="000D2E31"/>
    <w:rsid w:val="000D34B8"/>
    <w:rsid w:val="000D3711"/>
    <w:rsid w:val="000D401A"/>
    <w:rsid w:val="000D488B"/>
    <w:rsid w:val="000D5BA8"/>
    <w:rsid w:val="000D73D1"/>
    <w:rsid w:val="000E409B"/>
    <w:rsid w:val="000E45D3"/>
    <w:rsid w:val="000E559E"/>
    <w:rsid w:val="000E6FE3"/>
    <w:rsid w:val="000E70AF"/>
    <w:rsid w:val="000E7243"/>
    <w:rsid w:val="000E7726"/>
    <w:rsid w:val="000E79C7"/>
    <w:rsid w:val="000F06F1"/>
    <w:rsid w:val="000F0C57"/>
    <w:rsid w:val="000F15A8"/>
    <w:rsid w:val="000F18DA"/>
    <w:rsid w:val="000F1C4E"/>
    <w:rsid w:val="000F219D"/>
    <w:rsid w:val="000F36E4"/>
    <w:rsid w:val="000F4D92"/>
    <w:rsid w:val="000F602B"/>
    <w:rsid w:val="000F6FC6"/>
    <w:rsid w:val="000F78EC"/>
    <w:rsid w:val="000F7F6A"/>
    <w:rsid w:val="00100621"/>
    <w:rsid w:val="00101003"/>
    <w:rsid w:val="00101809"/>
    <w:rsid w:val="00103749"/>
    <w:rsid w:val="0010486A"/>
    <w:rsid w:val="00105408"/>
    <w:rsid w:val="001059EF"/>
    <w:rsid w:val="00105F4B"/>
    <w:rsid w:val="00105FCA"/>
    <w:rsid w:val="001067C0"/>
    <w:rsid w:val="00107A0C"/>
    <w:rsid w:val="00111B58"/>
    <w:rsid w:val="00113164"/>
    <w:rsid w:val="0011444E"/>
    <w:rsid w:val="00114AD2"/>
    <w:rsid w:val="00114E81"/>
    <w:rsid w:val="00114F3F"/>
    <w:rsid w:val="00115665"/>
    <w:rsid w:val="001161B2"/>
    <w:rsid w:val="00116251"/>
    <w:rsid w:val="0011659D"/>
    <w:rsid w:val="00117AD7"/>
    <w:rsid w:val="0012034E"/>
    <w:rsid w:val="0012202A"/>
    <w:rsid w:val="001221A2"/>
    <w:rsid w:val="00122CC2"/>
    <w:rsid w:val="0012391D"/>
    <w:rsid w:val="00123A40"/>
    <w:rsid w:val="00124F8F"/>
    <w:rsid w:val="00125281"/>
    <w:rsid w:val="00125EBC"/>
    <w:rsid w:val="00125FDC"/>
    <w:rsid w:val="001263A3"/>
    <w:rsid w:val="00126865"/>
    <w:rsid w:val="001274C3"/>
    <w:rsid w:val="00127ABD"/>
    <w:rsid w:val="00127FB7"/>
    <w:rsid w:val="00130B29"/>
    <w:rsid w:val="001327FF"/>
    <w:rsid w:val="001356E0"/>
    <w:rsid w:val="00135C24"/>
    <w:rsid w:val="00136205"/>
    <w:rsid w:val="0013698F"/>
    <w:rsid w:val="00136B46"/>
    <w:rsid w:val="0014073A"/>
    <w:rsid w:val="001409D9"/>
    <w:rsid w:val="001429FA"/>
    <w:rsid w:val="001455A6"/>
    <w:rsid w:val="001468BC"/>
    <w:rsid w:val="00146EA1"/>
    <w:rsid w:val="001477A3"/>
    <w:rsid w:val="00147E3F"/>
    <w:rsid w:val="00151E45"/>
    <w:rsid w:val="00152BBB"/>
    <w:rsid w:val="001558FC"/>
    <w:rsid w:val="00155F0A"/>
    <w:rsid w:val="001567B9"/>
    <w:rsid w:val="00157B95"/>
    <w:rsid w:val="00157C12"/>
    <w:rsid w:val="00157E0D"/>
    <w:rsid w:val="0016016F"/>
    <w:rsid w:val="00160864"/>
    <w:rsid w:val="00161438"/>
    <w:rsid w:val="00161741"/>
    <w:rsid w:val="00161CD5"/>
    <w:rsid w:val="001622A2"/>
    <w:rsid w:val="00162EF7"/>
    <w:rsid w:val="001633B7"/>
    <w:rsid w:val="001641E3"/>
    <w:rsid w:val="00165F1B"/>
    <w:rsid w:val="0016659B"/>
    <w:rsid w:val="0016680C"/>
    <w:rsid w:val="00166855"/>
    <w:rsid w:val="001668BC"/>
    <w:rsid w:val="00166D3F"/>
    <w:rsid w:val="001671FE"/>
    <w:rsid w:val="00167A8E"/>
    <w:rsid w:val="00172629"/>
    <w:rsid w:val="001727BF"/>
    <w:rsid w:val="00172E97"/>
    <w:rsid w:val="0017349E"/>
    <w:rsid w:val="00174B99"/>
    <w:rsid w:val="00175CD2"/>
    <w:rsid w:val="00176131"/>
    <w:rsid w:val="001762E1"/>
    <w:rsid w:val="0017693E"/>
    <w:rsid w:val="00180AB8"/>
    <w:rsid w:val="00180FA0"/>
    <w:rsid w:val="001816FA"/>
    <w:rsid w:val="0018298B"/>
    <w:rsid w:val="00183266"/>
    <w:rsid w:val="00184A0E"/>
    <w:rsid w:val="001866E8"/>
    <w:rsid w:val="001868FE"/>
    <w:rsid w:val="00186CE8"/>
    <w:rsid w:val="00186DD2"/>
    <w:rsid w:val="001872EF"/>
    <w:rsid w:val="00187AAC"/>
    <w:rsid w:val="00190221"/>
    <w:rsid w:val="0019164C"/>
    <w:rsid w:val="00191B20"/>
    <w:rsid w:val="00192546"/>
    <w:rsid w:val="00194694"/>
    <w:rsid w:val="001951E4"/>
    <w:rsid w:val="00195530"/>
    <w:rsid w:val="00195CB0"/>
    <w:rsid w:val="00196B11"/>
    <w:rsid w:val="001979EB"/>
    <w:rsid w:val="00197C9F"/>
    <w:rsid w:val="00197E52"/>
    <w:rsid w:val="001A059E"/>
    <w:rsid w:val="001A0608"/>
    <w:rsid w:val="001A13E1"/>
    <w:rsid w:val="001A1FC6"/>
    <w:rsid w:val="001A2628"/>
    <w:rsid w:val="001A2D08"/>
    <w:rsid w:val="001A363D"/>
    <w:rsid w:val="001A36F3"/>
    <w:rsid w:val="001A3CA7"/>
    <w:rsid w:val="001A3F78"/>
    <w:rsid w:val="001A42E6"/>
    <w:rsid w:val="001A4321"/>
    <w:rsid w:val="001A543C"/>
    <w:rsid w:val="001A68BC"/>
    <w:rsid w:val="001A7BB9"/>
    <w:rsid w:val="001A7F8A"/>
    <w:rsid w:val="001B04C4"/>
    <w:rsid w:val="001B0D5A"/>
    <w:rsid w:val="001B228A"/>
    <w:rsid w:val="001B2B86"/>
    <w:rsid w:val="001B2EC8"/>
    <w:rsid w:val="001B35E4"/>
    <w:rsid w:val="001B38F1"/>
    <w:rsid w:val="001B3F42"/>
    <w:rsid w:val="001B4B40"/>
    <w:rsid w:val="001B5032"/>
    <w:rsid w:val="001B54B3"/>
    <w:rsid w:val="001B5D32"/>
    <w:rsid w:val="001C0DAE"/>
    <w:rsid w:val="001C0FA8"/>
    <w:rsid w:val="001C0FC3"/>
    <w:rsid w:val="001C126B"/>
    <w:rsid w:val="001C3217"/>
    <w:rsid w:val="001C525E"/>
    <w:rsid w:val="001C58D6"/>
    <w:rsid w:val="001C68E3"/>
    <w:rsid w:val="001C7203"/>
    <w:rsid w:val="001D0030"/>
    <w:rsid w:val="001D22AA"/>
    <w:rsid w:val="001D3052"/>
    <w:rsid w:val="001D470E"/>
    <w:rsid w:val="001D4727"/>
    <w:rsid w:val="001D4A7A"/>
    <w:rsid w:val="001D7176"/>
    <w:rsid w:val="001E0D8E"/>
    <w:rsid w:val="001E0E28"/>
    <w:rsid w:val="001E3005"/>
    <w:rsid w:val="001E3DF3"/>
    <w:rsid w:val="001E458D"/>
    <w:rsid w:val="001E47DD"/>
    <w:rsid w:val="001E4A00"/>
    <w:rsid w:val="001E526E"/>
    <w:rsid w:val="001E52DF"/>
    <w:rsid w:val="001E52F0"/>
    <w:rsid w:val="001E5748"/>
    <w:rsid w:val="001E576A"/>
    <w:rsid w:val="001F0AB9"/>
    <w:rsid w:val="001F11FC"/>
    <w:rsid w:val="001F19C9"/>
    <w:rsid w:val="001F1D70"/>
    <w:rsid w:val="001F207B"/>
    <w:rsid w:val="001F20CB"/>
    <w:rsid w:val="001F20EE"/>
    <w:rsid w:val="001F257A"/>
    <w:rsid w:val="001F2BAE"/>
    <w:rsid w:val="001F407B"/>
    <w:rsid w:val="001F4CA0"/>
    <w:rsid w:val="001F5352"/>
    <w:rsid w:val="001F57E6"/>
    <w:rsid w:val="001F693C"/>
    <w:rsid w:val="001F6D7C"/>
    <w:rsid w:val="001F76E1"/>
    <w:rsid w:val="001F77E0"/>
    <w:rsid w:val="001F7D8B"/>
    <w:rsid w:val="00200D4A"/>
    <w:rsid w:val="00201B0D"/>
    <w:rsid w:val="00202011"/>
    <w:rsid w:val="00202A85"/>
    <w:rsid w:val="0020376E"/>
    <w:rsid w:val="002058EF"/>
    <w:rsid w:val="002072C9"/>
    <w:rsid w:val="00207889"/>
    <w:rsid w:val="00207EE7"/>
    <w:rsid w:val="002108CF"/>
    <w:rsid w:val="00211BE1"/>
    <w:rsid w:val="00213986"/>
    <w:rsid w:val="00214058"/>
    <w:rsid w:val="002150E3"/>
    <w:rsid w:val="002155A2"/>
    <w:rsid w:val="00215F0D"/>
    <w:rsid w:val="00216650"/>
    <w:rsid w:val="0021784F"/>
    <w:rsid w:val="00220161"/>
    <w:rsid w:val="002205A2"/>
    <w:rsid w:val="00220F7B"/>
    <w:rsid w:val="00223645"/>
    <w:rsid w:val="0022375A"/>
    <w:rsid w:val="00223BE6"/>
    <w:rsid w:val="00223C31"/>
    <w:rsid w:val="00223D61"/>
    <w:rsid w:val="00224F94"/>
    <w:rsid w:val="00225688"/>
    <w:rsid w:val="00225BE1"/>
    <w:rsid w:val="002260D4"/>
    <w:rsid w:val="00226E79"/>
    <w:rsid w:val="00230488"/>
    <w:rsid w:val="00230594"/>
    <w:rsid w:val="0023120D"/>
    <w:rsid w:val="002337D1"/>
    <w:rsid w:val="00234B2B"/>
    <w:rsid w:val="00234D82"/>
    <w:rsid w:val="0023517C"/>
    <w:rsid w:val="00235BF9"/>
    <w:rsid w:val="002404C9"/>
    <w:rsid w:val="0024109D"/>
    <w:rsid w:val="00241CA5"/>
    <w:rsid w:val="00242BCF"/>
    <w:rsid w:val="00242D27"/>
    <w:rsid w:val="00243CD1"/>
    <w:rsid w:val="00243E2E"/>
    <w:rsid w:val="00244131"/>
    <w:rsid w:val="00245F14"/>
    <w:rsid w:val="002466DD"/>
    <w:rsid w:val="00247177"/>
    <w:rsid w:val="00247EC1"/>
    <w:rsid w:val="00250DDE"/>
    <w:rsid w:val="00251838"/>
    <w:rsid w:val="00251C13"/>
    <w:rsid w:val="00253231"/>
    <w:rsid w:val="002544D5"/>
    <w:rsid w:val="00254F17"/>
    <w:rsid w:val="0025667E"/>
    <w:rsid w:val="002576C9"/>
    <w:rsid w:val="00263D68"/>
    <w:rsid w:val="00264B1D"/>
    <w:rsid w:val="00265F43"/>
    <w:rsid w:val="002668AD"/>
    <w:rsid w:val="00266CFA"/>
    <w:rsid w:val="00267F0F"/>
    <w:rsid w:val="0027027C"/>
    <w:rsid w:val="0027079C"/>
    <w:rsid w:val="00270BF0"/>
    <w:rsid w:val="00272ABC"/>
    <w:rsid w:val="0027401E"/>
    <w:rsid w:val="00274FFD"/>
    <w:rsid w:val="00275998"/>
    <w:rsid w:val="00275B40"/>
    <w:rsid w:val="00275D6F"/>
    <w:rsid w:val="002769FD"/>
    <w:rsid w:val="002774BE"/>
    <w:rsid w:val="0027791D"/>
    <w:rsid w:val="00280A74"/>
    <w:rsid w:val="00280BE3"/>
    <w:rsid w:val="00280FCD"/>
    <w:rsid w:val="002810DB"/>
    <w:rsid w:val="002812A4"/>
    <w:rsid w:val="002819C0"/>
    <w:rsid w:val="00281C0F"/>
    <w:rsid w:val="002823F6"/>
    <w:rsid w:val="0028240B"/>
    <w:rsid w:val="00282939"/>
    <w:rsid w:val="002832A1"/>
    <w:rsid w:val="00283501"/>
    <w:rsid w:val="00283506"/>
    <w:rsid w:val="0028358D"/>
    <w:rsid w:val="0028542D"/>
    <w:rsid w:val="00285916"/>
    <w:rsid w:val="00285E0B"/>
    <w:rsid w:val="002865EE"/>
    <w:rsid w:val="00287672"/>
    <w:rsid w:val="00287B8B"/>
    <w:rsid w:val="00287FE5"/>
    <w:rsid w:val="00292716"/>
    <w:rsid w:val="00292C2F"/>
    <w:rsid w:val="00293DD2"/>
    <w:rsid w:val="00293F8C"/>
    <w:rsid w:val="002951C5"/>
    <w:rsid w:val="002957FA"/>
    <w:rsid w:val="00295A80"/>
    <w:rsid w:val="0029623F"/>
    <w:rsid w:val="00297CF0"/>
    <w:rsid w:val="002A26CC"/>
    <w:rsid w:val="002A428C"/>
    <w:rsid w:val="002A454D"/>
    <w:rsid w:val="002A4958"/>
    <w:rsid w:val="002A5BE0"/>
    <w:rsid w:val="002A5D9D"/>
    <w:rsid w:val="002A6352"/>
    <w:rsid w:val="002A77A7"/>
    <w:rsid w:val="002B0675"/>
    <w:rsid w:val="002B2B58"/>
    <w:rsid w:val="002B2FBC"/>
    <w:rsid w:val="002B327D"/>
    <w:rsid w:val="002B3672"/>
    <w:rsid w:val="002B3B4C"/>
    <w:rsid w:val="002B3E07"/>
    <w:rsid w:val="002B408F"/>
    <w:rsid w:val="002B418E"/>
    <w:rsid w:val="002B50E5"/>
    <w:rsid w:val="002B5D3B"/>
    <w:rsid w:val="002B6094"/>
    <w:rsid w:val="002B6C50"/>
    <w:rsid w:val="002B7D1D"/>
    <w:rsid w:val="002C0BFB"/>
    <w:rsid w:val="002C1340"/>
    <w:rsid w:val="002C2240"/>
    <w:rsid w:val="002C2922"/>
    <w:rsid w:val="002C395E"/>
    <w:rsid w:val="002C3F59"/>
    <w:rsid w:val="002C4EC3"/>
    <w:rsid w:val="002C4F55"/>
    <w:rsid w:val="002C53A0"/>
    <w:rsid w:val="002C55DA"/>
    <w:rsid w:val="002C6CC7"/>
    <w:rsid w:val="002C7BCA"/>
    <w:rsid w:val="002D003F"/>
    <w:rsid w:val="002D061D"/>
    <w:rsid w:val="002D1F0D"/>
    <w:rsid w:val="002D2601"/>
    <w:rsid w:val="002D3C45"/>
    <w:rsid w:val="002D4705"/>
    <w:rsid w:val="002D49EE"/>
    <w:rsid w:val="002D545C"/>
    <w:rsid w:val="002D643D"/>
    <w:rsid w:val="002D6A89"/>
    <w:rsid w:val="002D6D53"/>
    <w:rsid w:val="002D72E5"/>
    <w:rsid w:val="002E07B8"/>
    <w:rsid w:val="002E0D6C"/>
    <w:rsid w:val="002E2BAC"/>
    <w:rsid w:val="002E3443"/>
    <w:rsid w:val="002E3573"/>
    <w:rsid w:val="002E4851"/>
    <w:rsid w:val="002E52DB"/>
    <w:rsid w:val="002E5645"/>
    <w:rsid w:val="002E67F7"/>
    <w:rsid w:val="002E7A72"/>
    <w:rsid w:val="002F0ED0"/>
    <w:rsid w:val="002F11C8"/>
    <w:rsid w:val="002F12B7"/>
    <w:rsid w:val="002F1B10"/>
    <w:rsid w:val="002F1F0A"/>
    <w:rsid w:val="002F1F27"/>
    <w:rsid w:val="002F26C5"/>
    <w:rsid w:val="002F31D7"/>
    <w:rsid w:val="002F33F6"/>
    <w:rsid w:val="002F6929"/>
    <w:rsid w:val="002F7965"/>
    <w:rsid w:val="002F7DA2"/>
    <w:rsid w:val="0030149B"/>
    <w:rsid w:val="00301F1A"/>
    <w:rsid w:val="00306342"/>
    <w:rsid w:val="0030664B"/>
    <w:rsid w:val="00306A5C"/>
    <w:rsid w:val="00307F98"/>
    <w:rsid w:val="0031060F"/>
    <w:rsid w:val="0031149F"/>
    <w:rsid w:val="003122C9"/>
    <w:rsid w:val="003128A1"/>
    <w:rsid w:val="00312C44"/>
    <w:rsid w:val="003132B5"/>
    <w:rsid w:val="00313337"/>
    <w:rsid w:val="00313633"/>
    <w:rsid w:val="003138C6"/>
    <w:rsid w:val="00314A4E"/>
    <w:rsid w:val="00314EF2"/>
    <w:rsid w:val="00315763"/>
    <w:rsid w:val="00315A53"/>
    <w:rsid w:val="00316371"/>
    <w:rsid w:val="00320692"/>
    <w:rsid w:val="003208C5"/>
    <w:rsid w:val="00321B5E"/>
    <w:rsid w:val="00323322"/>
    <w:rsid w:val="00324B58"/>
    <w:rsid w:val="00324CCC"/>
    <w:rsid w:val="00326EF5"/>
    <w:rsid w:val="00327DFF"/>
    <w:rsid w:val="003316FA"/>
    <w:rsid w:val="0033235B"/>
    <w:rsid w:val="00332956"/>
    <w:rsid w:val="00333291"/>
    <w:rsid w:val="003343F6"/>
    <w:rsid w:val="0033465C"/>
    <w:rsid w:val="00334992"/>
    <w:rsid w:val="00335494"/>
    <w:rsid w:val="00337735"/>
    <w:rsid w:val="003404EE"/>
    <w:rsid w:val="003424CE"/>
    <w:rsid w:val="0034331C"/>
    <w:rsid w:val="00343678"/>
    <w:rsid w:val="00343B19"/>
    <w:rsid w:val="00344D40"/>
    <w:rsid w:val="00345701"/>
    <w:rsid w:val="0034583E"/>
    <w:rsid w:val="003459C0"/>
    <w:rsid w:val="00346B11"/>
    <w:rsid w:val="00347314"/>
    <w:rsid w:val="0034750F"/>
    <w:rsid w:val="003475AD"/>
    <w:rsid w:val="00352477"/>
    <w:rsid w:val="003533CA"/>
    <w:rsid w:val="0035495B"/>
    <w:rsid w:val="00356208"/>
    <w:rsid w:val="003566D4"/>
    <w:rsid w:val="00357055"/>
    <w:rsid w:val="003573D6"/>
    <w:rsid w:val="00357944"/>
    <w:rsid w:val="00360518"/>
    <w:rsid w:val="00360917"/>
    <w:rsid w:val="0036253B"/>
    <w:rsid w:val="003634DB"/>
    <w:rsid w:val="00363797"/>
    <w:rsid w:val="00363BCE"/>
    <w:rsid w:val="00364DFD"/>
    <w:rsid w:val="00365F5E"/>
    <w:rsid w:val="003713BA"/>
    <w:rsid w:val="003713E8"/>
    <w:rsid w:val="00372E0D"/>
    <w:rsid w:val="00373606"/>
    <w:rsid w:val="00373C53"/>
    <w:rsid w:val="00374AE4"/>
    <w:rsid w:val="00375D38"/>
    <w:rsid w:val="0038081A"/>
    <w:rsid w:val="003829EA"/>
    <w:rsid w:val="00382CC1"/>
    <w:rsid w:val="0038425D"/>
    <w:rsid w:val="0038594A"/>
    <w:rsid w:val="00385DC8"/>
    <w:rsid w:val="00385F43"/>
    <w:rsid w:val="003861D9"/>
    <w:rsid w:val="00386338"/>
    <w:rsid w:val="00386948"/>
    <w:rsid w:val="00390847"/>
    <w:rsid w:val="00390BFE"/>
    <w:rsid w:val="00392E81"/>
    <w:rsid w:val="00392F24"/>
    <w:rsid w:val="00393A58"/>
    <w:rsid w:val="00397783"/>
    <w:rsid w:val="003977C1"/>
    <w:rsid w:val="00397B85"/>
    <w:rsid w:val="003A0959"/>
    <w:rsid w:val="003A1338"/>
    <w:rsid w:val="003A1954"/>
    <w:rsid w:val="003A2DFB"/>
    <w:rsid w:val="003A4187"/>
    <w:rsid w:val="003A716F"/>
    <w:rsid w:val="003B06B7"/>
    <w:rsid w:val="003B08F6"/>
    <w:rsid w:val="003B2235"/>
    <w:rsid w:val="003B38CE"/>
    <w:rsid w:val="003B430C"/>
    <w:rsid w:val="003B441E"/>
    <w:rsid w:val="003B5F3E"/>
    <w:rsid w:val="003B6557"/>
    <w:rsid w:val="003B71F3"/>
    <w:rsid w:val="003C0671"/>
    <w:rsid w:val="003C0F8D"/>
    <w:rsid w:val="003C19AD"/>
    <w:rsid w:val="003C1AC9"/>
    <w:rsid w:val="003C39A7"/>
    <w:rsid w:val="003C4EA3"/>
    <w:rsid w:val="003C599E"/>
    <w:rsid w:val="003C6593"/>
    <w:rsid w:val="003C6790"/>
    <w:rsid w:val="003C6D9E"/>
    <w:rsid w:val="003C761C"/>
    <w:rsid w:val="003C77CD"/>
    <w:rsid w:val="003C7D22"/>
    <w:rsid w:val="003D0AEF"/>
    <w:rsid w:val="003D1C86"/>
    <w:rsid w:val="003D1D1E"/>
    <w:rsid w:val="003D221E"/>
    <w:rsid w:val="003D2278"/>
    <w:rsid w:val="003D2C20"/>
    <w:rsid w:val="003D2ECF"/>
    <w:rsid w:val="003D30C5"/>
    <w:rsid w:val="003D36E3"/>
    <w:rsid w:val="003D38E2"/>
    <w:rsid w:val="003D4322"/>
    <w:rsid w:val="003D4C59"/>
    <w:rsid w:val="003D4EF4"/>
    <w:rsid w:val="003D51FD"/>
    <w:rsid w:val="003D70A8"/>
    <w:rsid w:val="003D7808"/>
    <w:rsid w:val="003E0C36"/>
    <w:rsid w:val="003E1FE8"/>
    <w:rsid w:val="003E2C6E"/>
    <w:rsid w:val="003E3074"/>
    <w:rsid w:val="003E3530"/>
    <w:rsid w:val="003E3585"/>
    <w:rsid w:val="003E3E4A"/>
    <w:rsid w:val="003E577A"/>
    <w:rsid w:val="003E669C"/>
    <w:rsid w:val="003E6C85"/>
    <w:rsid w:val="003E6D65"/>
    <w:rsid w:val="003E7248"/>
    <w:rsid w:val="003E7CF6"/>
    <w:rsid w:val="003F0032"/>
    <w:rsid w:val="003F08DB"/>
    <w:rsid w:val="003F10AE"/>
    <w:rsid w:val="003F172D"/>
    <w:rsid w:val="003F2273"/>
    <w:rsid w:val="003F2580"/>
    <w:rsid w:val="003F27E9"/>
    <w:rsid w:val="003F29AA"/>
    <w:rsid w:val="003F2F51"/>
    <w:rsid w:val="003F342A"/>
    <w:rsid w:val="003F37AF"/>
    <w:rsid w:val="003F4C4F"/>
    <w:rsid w:val="003F69B4"/>
    <w:rsid w:val="003F74FC"/>
    <w:rsid w:val="004005E9"/>
    <w:rsid w:val="00400A54"/>
    <w:rsid w:val="00402CC0"/>
    <w:rsid w:val="004037C0"/>
    <w:rsid w:val="0040441E"/>
    <w:rsid w:val="0040496C"/>
    <w:rsid w:val="004058FC"/>
    <w:rsid w:val="0040602B"/>
    <w:rsid w:val="0040652F"/>
    <w:rsid w:val="00407749"/>
    <w:rsid w:val="004103EF"/>
    <w:rsid w:val="00411313"/>
    <w:rsid w:val="0041542E"/>
    <w:rsid w:val="00416397"/>
    <w:rsid w:val="00417496"/>
    <w:rsid w:val="00417D44"/>
    <w:rsid w:val="00417DE4"/>
    <w:rsid w:val="004202CE"/>
    <w:rsid w:val="004215BB"/>
    <w:rsid w:val="0042197B"/>
    <w:rsid w:val="00422381"/>
    <w:rsid w:val="00423178"/>
    <w:rsid w:val="004244CA"/>
    <w:rsid w:val="00424601"/>
    <w:rsid w:val="00425B82"/>
    <w:rsid w:val="00425EE9"/>
    <w:rsid w:val="00426626"/>
    <w:rsid w:val="004270DC"/>
    <w:rsid w:val="00427384"/>
    <w:rsid w:val="00427E12"/>
    <w:rsid w:val="004300A7"/>
    <w:rsid w:val="00430D0D"/>
    <w:rsid w:val="00430E7D"/>
    <w:rsid w:val="0043112B"/>
    <w:rsid w:val="00431815"/>
    <w:rsid w:val="00431BC7"/>
    <w:rsid w:val="00432FC1"/>
    <w:rsid w:val="0043300D"/>
    <w:rsid w:val="00433305"/>
    <w:rsid w:val="0043391B"/>
    <w:rsid w:val="00433F1F"/>
    <w:rsid w:val="00435075"/>
    <w:rsid w:val="00435272"/>
    <w:rsid w:val="0043741D"/>
    <w:rsid w:val="00437680"/>
    <w:rsid w:val="004376A0"/>
    <w:rsid w:val="00440653"/>
    <w:rsid w:val="004410D8"/>
    <w:rsid w:val="0044229E"/>
    <w:rsid w:val="00442410"/>
    <w:rsid w:val="00442E67"/>
    <w:rsid w:val="00444DED"/>
    <w:rsid w:val="00444E8D"/>
    <w:rsid w:val="004453FF"/>
    <w:rsid w:val="00445C23"/>
    <w:rsid w:val="00447F5A"/>
    <w:rsid w:val="00450314"/>
    <w:rsid w:val="004503E6"/>
    <w:rsid w:val="00451115"/>
    <w:rsid w:val="004526E8"/>
    <w:rsid w:val="0045283D"/>
    <w:rsid w:val="004558EF"/>
    <w:rsid w:val="00456AF6"/>
    <w:rsid w:val="00456CAA"/>
    <w:rsid w:val="004574BA"/>
    <w:rsid w:val="00460215"/>
    <w:rsid w:val="00460392"/>
    <w:rsid w:val="0046040D"/>
    <w:rsid w:val="0046069A"/>
    <w:rsid w:val="00460E80"/>
    <w:rsid w:val="00461AD5"/>
    <w:rsid w:val="00461D90"/>
    <w:rsid w:val="0046367B"/>
    <w:rsid w:val="00465B3A"/>
    <w:rsid w:val="004669B2"/>
    <w:rsid w:val="004670C0"/>
    <w:rsid w:val="00471E90"/>
    <w:rsid w:val="00471F9D"/>
    <w:rsid w:val="00472446"/>
    <w:rsid w:val="00473EF4"/>
    <w:rsid w:val="00474111"/>
    <w:rsid w:val="004744BF"/>
    <w:rsid w:val="0047497D"/>
    <w:rsid w:val="00475F4B"/>
    <w:rsid w:val="00476D39"/>
    <w:rsid w:val="00476FA8"/>
    <w:rsid w:val="00477AF2"/>
    <w:rsid w:val="0048183A"/>
    <w:rsid w:val="00481EFD"/>
    <w:rsid w:val="00482626"/>
    <w:rsid w:val="004826A8"/>
    <w:rsid w:val="00482BD6"/>
    <w:rsid w:val="00483623"/>
    <w:rsid w:val="004857BD"/>
    <w:rsid w:val="0048599E"/>
    <w:rsid w:val="00485EBD"/>
    <w:rsid w:val="00487EC1"/>
    <w:rsid w:val="00490153"/>
    <w:rsid w:val="0049085B"/>
    <w:rsid w:val="0049154D"/>
    <w:rsid w:val="0049155D"/>
    <w:rsid w:val="00491E32"/>
    <w:rsid w:val="00492C71"/>
    <w:rsid w:val="00493F04"/>
    <w:rsid w:val="004947FD"/>
    <w:rsid w:val="004949FF"/>
    <w:rsid w:val="004A0DD9"/>
    <w:rsid w:val="004A1B21"/>
    <w:rsid w:val="004A316E"/>
    <w:rsid w:val="004A3B89"/>
    <w:rsid w:val="004A40C3"/>
    <w:rsid w:val="004A6A41"/>
    <w:rsid w:val="004A7DA1"/>
    <w:rsid w:val="004B061F"/>
    <w:rsid w:val="004B1E61"/>
    <w:rsid w:val="004B52EE"/>
    <w:rsid w:val="004B5F6F"/>
    <w:rsid w:val="004B6508"/>
    <w:rsid w:val="004B6DBF"/>
    <w:rsid w:val="004B737A"/>
    <w:rsid w:val="004B7A00"/>
    <w:rsid w:val="004C1354"/>
    <w:rsid w:val="004C272F"/>
    <w:rsid w:val="004C3B2E"/>
    <w:rsid w:val="004C3F05"/>
    <w:rsid w:val="004C4517"/>
    <w:rsid w:val="004C4927"/>
    <w:rsid w:val="004C5777"/>
    <w:rsid w:val="004C64B8"/>
    <w:rsid w:val="004C68A6"/>
    <w:rsid w:val="004D007B"/>
    <w:rsid w:val="004D038D"/>
    <w:rsid w:val="004D0394"/>
    <w:rsid w:val="004D092B"/>
    <w:rsid w:val="004D100A"/>
    <w:rsid w:val="004D11CD"/>
    <w:rsid w:val="004D1618"/>
    <w:rsid w:val="004D1774"/>
    <w:rsid w:val="004D19F7"/>
    <w:rsid w:val="004D368F"/>
    <w:rsid w:val="004D47EB"/>
    <w:rsid w:val="004D4997"/>
    <w:rsid w:val="004D5CD9"/>
    <w:rsid w:val="004D7B11"/>
    <w:rsid w:val="004E269E"/>
    <w:rsid w:val="004E2C92"/>
    <w:rsid w:val="004E3264"/>
    <w:rsid w:val="004E348E"/>
    <w:rsid w:val="004E402C"/>
    <w:rsid w:val="004E46A6"/>
    <w:rsid w:val="004E48F8"/>
    <w:rsid w:val="004E4909"/>
    <w:rsid w:val="004E5CAB"/>
    <w:rsid w:val="004E618F"/>
    <w:rsid w:val="004F0007"/>
    <w:rsid w:val="004F0A72"/>
    <w:rsid w:val="004F174C"/>
    <w:rsid w:val="004F20E8"/>
    <w:rsid w:val="004F4569"/>
    <w:rsid w:val="004F49B4"/>
    <w:rsid w:val="004F60C0"/>
    <w:rsid w:val="004F72C3"/>
    <w:rsid w:val="004F758A"/>
    <w:rsid w:val="005008E4"/>
    <w:rsid w:val="00501596"/>
    <w:rsid w:val="00501EF7"/>
    <w:rsid w:val="00502996"/>
    <w:rsid w:val="005037A9"/>
    <w:rsid w:val="00503A7D"/>
    <w:rsid w:val="0050431B"/>
    <w:rsid w:val="0050604E"/>
    <w:rsid w:val="005068DC"/>
    <w:rsid w:val="00506DB8"/>
    <w:rsid w:val="00510417"/>
    <w:rsid w:val="00511C61"/>
    <w:rsid w:val="00511CBA"/>
    <w:rsid w:val="005128EC"/>
    <w:rsid w:val="005147F0"/>
    <w:rsid w:val="00514C6D"/>
    <w:rsid w:val="005155FA"/>
    <w:rsid w:val="0051583F"/>
    <w:rsid w:val="005159B1"/>
    <w:rsid w:val="00515D07"/>
    <w:rsid w:val="005176D0"/>
    <w:rsid w:val="00517E95"/>
    <w:rsid w:val="00520956"/>
    <w:rsid w:val="0052114D"/>
    <w:rsid w:val="005212EE"/>
    <w:rsid w:val="00523C22"/>
    <w:rsid w:val="00523C2F"/>
    <w:rsid w:val="00523C94"/>
    <w:rsid w:val="00523E1F"/>
    <w:rsid w:val="00524B01"/>
    <w:rsid w:val="005260DF"/>
    <w:rsid w:val="0052750B"/>
    <w:rsid w:val="0053003C"/>
    <w:rsid w:val="0053046C"/>
    <w:rsid w:val="00530933"/>
    <w:rsid w:val="00531981"/>
    <w:rsid w:val="00532FC4"/>
    <w:rsid w:val="00533DE6"/>
    <w:rsid w:val="00534C40"/>
    <w:rsid w:val="00534FDB"/>
    <w:rsid w:val="00535048"/>
    <w:rsid w:val="005419FF"/>
    <w:rsid w:val="00541ACE"/>
    <w:rsid w:val="00543075"/>
    <w:rsid w:val="005459D8"/>
    <w:rsid w:val="00545E06"/>
    <w:rsid w:val="005465DC"/>
    <w:rsid w:val="0054752E"/>
    <w:rsid w:val="0055000C"/>
    <w:rsid w:val="00550EC8"/>
    <w:rsid w:val="005513D3"/>
    <w:rsid w:val="00551A0E"/>
    <w:rsid w:val="00551FA7"/>
    <w:rsid w:val="005523BB"/>
    <w:rsid w:val="005525E1"/>
    <w:rsid w:val="0055372C"/>
    <w:rsid w:val="00555117"/>
    <w:rsid w:val="00555657"/>
    <w:rsid w:val="0055709E"/>
    <w:rsid w:val="005573EB"/>
    <w:rsid w:val="0055786F"/>
    <w:rsid w:val="0055797A"/>
    <w:rsid w:val="00557BD2"/>
    <w:rsid w:val="005609C8"/>
    <w:rsid w:val="005609EF"/>
    <w:rsid w:val="00560A1E"/>
    <w:rsid w:val="005612E4"/>
    <w:rsid w:val="005613B5"/>
    <w:rsid w:val="005625BB"/>
    <w:rsid w:val="00562EAD"/>
    <w:rsid w:val="00564B64"/>
    <w:rsid w:val="005651CC"/>
    <w:rsid w:val="005654F7"/>
    <w:rsid w:val="00565503"/>
    <w:rsid w:val="005659F0"/>
    <w:rsid w:val="00565C04"/>
    <w:rsid w:val="00565D92"/>
    <w:rsid w:val="00565E02"/>
    <w:rsid w:val="0056730D"/>
    <w:rsid w:val="005703F4"/>
    <w:rsid w:val="00572EE9"/>
    <w:rsid w:val="005731F7"/>
    <w:rsid w:val="005762A9"/>
    <w:rsid w:val="00576485"/>
    <w:rsid w:val="00576F53"/>
    <w:rsid w:val="005776AA"/>
    <w:rsid w:val="0057793F"/>
    <w:rsid w:val="00581ABE"/>
    <w:rsid w:val="005826FC"/>
    <w:rsid w:val="00584784"/>
    <w:rsid w:val="00584B54"/>
    <w:rsid w:val="005869AB"/>
    <w:rsid w:val="005908A9"/>
    <w:rsid w:val="00590D81"/>
    <w:rsid w:val="00591095"/>
    <w:rsid w:val="00592BF0"/>
    <w:rsid w:val="0059307D"/>
    <w:rsid w:val="00593169"/>
    <w:rsid w:val="005932FC"/>
    <w:rsid w:val="00593469"/>
    <w:rsid w:val="00593818"/>
    <w:rsid w:val="005943BA"/>
    <w:rsid w:val="00594A0F"/>
    <w:rsid w:val="00594F4C"/>
    <w:rsid w:val="00595484"/>
    <w:rsid w:val="00596243"/>
    <w:rsid w:val="00596ABA"/>
    <w:rsid w:val="00596B6D"/>
    <w:rsid w:val="00596F56"/>
    <w:rsid w:val="0059708D"/>
    <w:rsid w:val="0059783E"/>
    <w:rsid w:val="00597C30"/>
    <w:rsid w:val="00597D84"/>
    <w:rsid w:val="00597F56"/>
    <w:rsid w:val="005A0406"/>
    <w:rsid w:val="005A0497"/>
    <w:rsid w:val="005A123F"/>
    <w:rsid w:val="005A177B"/>
    <w:rsid w:val="005A2718"/>
    <w:rsid w:val="005A2ADB"/>
    <w:rsid w:val="005A2CE8"/>
    <w:rsid w:val="005A34E5"/>
    <w:rsid w:val="005A3545"/>
    <w:rsid w:val="005A53A8"/>
    <w:rsid w:val="005A565D"/>
    <w:rsid w:val="005A6103"/>
    <w:rsid w:val="005A6A63"/>
    <w:rsid w:val="005A6F6A"/>
    <w:rsid w:val="005A7297"/>
    <w:rsid w:val="005A7B0B"/>
    <w:rsid w:val="005A7FCA"/>
    <w:rsid w:val="005B0B16"/>
    <w:rsid w:val="005B37B2"/>
    <w:rsid w:val="005B3841"/>
    <w:rsid w:val="005B3A7C"/>
    <w:rsid w:val="005B3E67"/>
    <w:rsid w:val="005B525E"/>
    <w:rsid w:val="005B59CA"/>
    <w:rsid w:val="005C08CC"/>
    <w:rsid w:val="005C11A1"/>
    <w:rsid w:val="005C236D"/>
    <w:rsid w:val="005C2D61"/>
    <w:rsid w:val="005C35B0"/>
    <w:rsid w:val="005C38C0"/>
    <w:rsid w:val="005C6B87"/>
    <w:rsid w:val="005C7789"/>
    <w:rsid w:val="005C7F1F"/>
    <w:rsid w:val="005D1A84"/>
    <w:rsid w:val="005D22AD"/>
    <w:rsid w:val="005D29EF"/>
    <w:rsid w:val="005D2A2D"/>
    <w:rsid w:val="005D3030"/>
    <w:rsid w:val="005D357D"/>
    <w:rsid w:val="005D5867"/>
    <w:rsid w:val="005D6C7C"/>
    <w:rsid w:val="005D6FB4"/>
    <w:rsid w:val="005D7432"/>
    <w:rsid w:val="005E14D9"/>
    <w:rsid w:val="005E1CEA"/>
    <w:rsid w:val="005E1FE3"/>
    <w:rsid w:val="005E213E"/>
    <w:rsid w:val="005E39A2"/>
    <w:rsid w:val="005E3BAB"/>
    <w:rsid w:val="005E441B"/>
    <w:rsid w:val="005E4C95"/>
    <w:rsid w:val="005E4FA6"/>
    <w:rsid w:val="005E5373"/>
    <w:rsid w:val="005E5D88"/>
    <w:rsid w:val="005E5E1A"/>
    <w:rsid w:val="005E6958"/>
    <w:rsid w:val="005E6AD6"/>
    <w:rsid w:val="005E6B4D"/>
    <w:rsid w:val="005E7CC0"/>
    <w:rsid w:val="005E7FBC"/>
    <w:rsid w:val="005F0175"/>
    <w:rsid w:val="005F0466"/>
    <w:rsid w:val="005F264E"/>
    <w:rsid w:val="005F38BD"/>
    <w:rsid w:val="005F440F"/>
    <w:rsid w:val="005F4D74"/>
    <w:rsid w:val="005F5888"/>
    <w:rsid w:val="005F6040"/>
    <w:rsid w:val="005F7319"/>
    <w:rsid w:val="005F73A6"/>
    <w:rsid w:val="005F75DB"/>
    <w:rsid w:val="005F7D58"/>
    <w:rsid w:val="00600CE3"/>
    <w:rsid w:val="006013DB"/>
    <w:rsid w:val="0060307A"/>
    <w:rsid w:val="00603F77"/>
    <w:rsid w:val="00606898"/>
    <w:rsid w:val="00606D75"/>
    <w:rsid w:val="00607E7F"/>
    <w:rsid w:val="00610686"/>
    <w:rsid w:val="00612031"/>
    <w:rsid w:val="00613117"/>
    <w:rsid w:val="00613DC7"/>
    <w:rsid w:val="00615A1B"/>
    <w:rsid w:val="00616B0A"/>
    <w:rsid w:val="006171D7"/>
    <w:rsid w:val="006177FD"/>
    <w:rsid w:val="00617DD1"/>
    <w:rsid w:val="00620D52"/>
    <w:rsid w:val="0062104C"/>
    <w:rsid w:val="00621735"/>
    <w:rsid w:val="00621752"/>
    <w:rsid w:val="0062313D"/>
    <w:rsid w:val="00623AFE"/>
    <w:rsid w:val="00625B28"/>
    <w:rsid w:val="006268E5"/>
    <w:rsid w:val="00626BAB"/>
    <w:rsid w:val="00627A3F"/>
    <w:rsid w:val="00627B0B"/>
    <w:rsid w:val="006303C5"/>
    <w:rsid w:val="00631072"/>
    <w:rsid w:val="006319A3"/>
    <w:rsid w:val="00634C38"/>
    <w:rsid w:val="00635982"/>
    <w:rsid w:val="006366B7"/>
    <w:rsid w:val="006375CC"/>
    <w:rsid w:val="00643821"/>
    <w:rsid w:val="00643908"/>
    <w:rsid w:val="0064450D"/>
    <w:rsid w:val="0064598D"/>
    <w:rsid w:val="0064678B"/>
    <w:rsid w:val="00646CFD"/>
    <w:rsid w:val="00647BF7"/>
    <w:rsid w:val="00647E07"/>
    <w:rsid w:val="00653E15"/>
    <w:rsid w:val="006551C5"/>
    <w:rsid w:val="006554B4"/>
    <w:rsid w:val="00656215"/>
    <w:rsid w:val="00657E39"/>
    <w:rsid w:val="006602D9"/>
    <w:rsid w:val="006606D9"/>
    <w:rsid w:val="006608E9"/>
    <w:rsid w:val="00660DA5"/>
    <w:rsid w:val="006623E2"/>
    <w:rsid w:val="006637D5"/>
    <w:rsid w:val="006640CA"/>
    <w:rsid w:val="00667936"/>
    <w:rsid w:val="0067039C"/>
    <w:rsid w:val="0067041C"/>
    <w:rsid w:val="00670CE2"/>
    <w:rsid w:val="0067157E"/>
    <w:rsid w:val="00672459"/>
    <w:rsid w:val="00672789"/>
    <w:rsid w:val="00672BE1"/>
    <w:rsid w:val="00673002"/>
    <w:rsid w:val="00673CE6"/>
    <w:rsid w:val="00674204"/>
    <w:rsid w:val="00674AD3"/>
    <w:rsid w:val="0067578C"/>
    <w:rsid w:val="006768D9"/>
    <w:rsid w:val="006778B1"/>
    <w:rsid w:val="0068019D"/>
    <w:rsid w:val="006802B5"/>
    <w:rsid w:val="0068225D"/>
    <w:rsid w:val="00683A17"/>
    <w:rsid w:val="00683B12"/>
    <w:rsid w:val="006867E2"/>
    <w:rsid w:val="00691A61"/>
    <w:rsid w:val="00692194"/>
    <w:rsid w:val="00692D52"/>
    <w:rsid w:val="00694FDC"/>
    <w:rsid w:val="006952B7"/>
    <w:rsid w:val="00695820"/>
    <w:rsid w:val="00697B8C"/>
    <w:rsid w:val="006A0C6C"/>
    <w:rsid w:val="006A3637"/>
    <w:rsid w:val="006A4AC4"/>
    <w:rsid w:val="006A4BCC"/>
    <w:rsid w:val="006A4CA6"/>
    <w:rsid w:val="006A6CCB"/>
    <w:rsid w:val="006A6D81"/>
    <w:rsid w:val="006B0023"/>
    <w:rsid w:val="006B00AC"/>
    <w:rsid w:val="006B10E6"/>
    <w:rsid w:val="006B180D"/>
    <w:rsid w:val="006B36D5"/>
    <w:rsid w:val="006B4C7E"/>
    <w:rsid w:val="006B5F24"/>
    <w:rsid w:val="006B7B03"/>
    <w:rsid w:val="006B7B79"/>
    <w:rsid w:val="006B7FA8"/>
    <w:rsid w:val="006C0EFE"/>
    <w:rsid w:val="006C2063"/>
    <w:rsid w:val="006C2A45"/>
    <w:rsid w:val="006C5BD1"/>
    <w:rsid w:val="006C601F"/>
    <w:rsid w:val="006C6D77"/>
    <w:rsid w:val="006C7E90"/>
    <w:rsid w:val="006D15CB"/>
    <w:rsid w:val="006D1F32"/>
    <w:rsid w:val="006D2D13"/>
    <w:rsid w:val="006D3690"/>
    <w:rsid w:val="006D4670"/>
    <w:rsid w:val="006D4BDA"/>
    <w:rsid w:val="006D4DE6"/>
    <w:rsid w:val="006D4F30"/>
    <w:rsid w:val="006D5229"/>
    <w:rsid w:val="006D56AD"/>
    <w:rsid w:val="006D5790"/>
    <w:rsid w:val="006D58C2"/>
    <w:rsid w:val="006D5FE7"/>
    <w:rsid w:val="006D64DB"/>
    <w:rsid w:val="006D7CC2"/>
    <w:rsid w:val="006E0AD3"/>
    <w:rsid w:val="006E1159"/>
    <w:rsid w:val="006E1D6D"/>
    <w:rsid w:val="006E2247"/>
    <w:rsid w:val="006E2695"/>
    <w:rsid w:val="006E270B"/>
    <w:rsid w:val="006E346C"/>
    <w:rsid w:val="006E3480"/>
    <w:rsid w:val="006E35D8"/>
    <w:rsid w:val="006E407A"/>
    <w:rsid w:val="006E5BB4"/>
    <w:rsid w:val="006E6415"/>
    <w:rsid w:val="006E65B4"/>
    <w:rsid w:val="006E771B"/>
    <w:rsid w:val="006F1079"/>
    <w:rsid w:val="006F1A6F"/>
    <w:rsid w:val="006F2AB2"/>
    <w:rsid w:val="006F398C"/>
    <w:rsid w:val="006F3CB7"/>
    <w:rsid w:val="006F3F5F"/>
    <w:rsid w:val="006F4AD9"/>
    <w:rsid w:val="006F5386"/>
    <w:rsid w:val="006F53B5"/>
    <w:rsid w:val="006F5A3E"/>
    <w:rsid w:val="006F60B7"/>
    <w:rsid w:val="006F667E"/>
    <w:rsid w:val="006F7A35"/>
    <w:rsid w:val="0070040E"/>
    <w:rsid w:val="00700ADF"/>
    <w:rsid w:val="0070118D"/>
    <w:rsid w:val="007012F7"/>
    <w:rsid w:val="00701700"/>
    <w:rsid w:val="00701E49"/>
    <w:rsid w:val="0070223E"/>
    <w:rsid w:val="00707038"/>
    <w:rsid w:val="00710011"/>
    <w:rsid w:val="007101A6"/>
    <w:rsid w:val="00711195"/>
    <w:rsid w:val="007111F3"/>
    <w:rsid w:val="0071369D"/>
    <w:rsid w:val="00714480"/>
    <w:rsid w:val="007146C9"/>
    <w:rsid w:val="00714754"/>
    <w:rsid w:val="00715C5E"/>
    <w:rsid w:val="00716528"/>
    <w:rsid w:val="00716EC1"/>
    <w:rsid w:val="0071790A"/>
    <w:rsid w:val="0072155C"/>
    <w:rsid w:val="007221E7"/>
    <w:rsid w:val="007223B7"/>
    <w:rsid w:val="007227CD"/>
    <w:rsid w:val="0072529C"/>
    <w:rsid w:val="00725448"/>
    <w:rsid w:val="00725D49"/>
    <w:rsid w:val="0072637A"/>
    <w:rsid w:val="00727BBE"/>
    <w:rsid w:val="007300FC"/>
    <w:rsid w:val="00730A3D"/>
    <w:rsid w:val="007326D7"/>
    <w:rsid w:val="0073362D"/>
    <w:rsid w:val="007336F8"/>
    <w:rsid w:val="00733D50"/>
    <w:rsid w:val="007352C0"/>
    <w:rsid w:val="007358FC"/>
    <w:rsid w:val="00735929"/>
    <w:rsid w:val="00735FCF"/>
    <w:rsid w:val="00736F57"/>
    <w:rsid w:val="0073730A"/>
    <w:rsid w:val="007373F3"/>
    <w:rsid w:val="00737DED"/>
    <w:rsid w:val="00740698"/>
    <w:rsid w:val="007417B9"/>
    <w:rsid w:val="00742085"/>
    <w:rsid w:val="00742632"/>
    <w:rsid w:val="0074309B"/>
    <w:rsid w:val="007431CF"/>
    <w:rsid w:val="00743601"/>
    <w:rsid w:val="00745400"/>
    <w:rsid w:val="0074564D"/>
    <w:rsid w:val="00746104"/>
    <w:rsid w:val="00747242"/>
    <w:rsid w:val="00747D92"/>
    <w:rsid w:val="007504EB"/>
    <w:rsid w:val="00750B3B"/>
    <w:rsid w:val="00750DA3"/>
    <w:rsid w:val="00751255"/>
    <w:rsid w:val="00751F17"/>
    <w:rsid w:val="00751FEA"/>
    <w:rsid w:val="00754018"/>
    <w:rsid w:val="00754173"/>
    <w:rsid w:val="007544BA"/>
    <w:rsid w:val="00754EA6"/>
    <w:rsid w:val="00755AAE"/>
    <w:rsid w:val="007575B4"/>
    <w:rsid w:val="00757D08"/>
    <w:rsid w:val="00762CA8"/>
    <w:rsid w:val="00765C20"/>
    <w:rsid w:val="00766120"/>
    <w:rsid w:val="00767162"/>
    <w:rsid w:val="00770CD0"/>
    <w:rsid w:val="00770F4D"/>
    <w:rsid w:val="0077235E"/>
    <w:rsid w:val="00773ED2"/>
    <w:rsid w:val="00774CD1"/>
    <w:rsid w:val="00775E35"/>
    <w:rsid w:val="00775F56"/>
    <w:rsid w:val="00780825"/>
    <w:rsid w:val="00780CB8"/>
    <w:rsid w:val="00780F57"/>
    <w:rsid w:val="0078277A"/>
    <w:rsid w:val="0078328F"/>
    <w:rsid w:val="0078338E"/>
    <w:rsid w:val="007848B6"/>
    <w:rsid w:val="00785ECA"/>
    <w:rsid w:val="00786D9C"/>
    <w:rsid w:val="00787042"/>
    <w:rsid w:val="0078745D"/>
    <w:rsid w:val="00787731"/>
    <w:rsid w:val="00791FBF"/>
    <w:rsid w:val="0079290C"/>
    <w:rsid w:val="00792AD4"/>
    <w:rsid w:val="0079362A"/>
    <w:rsid w:val="007948C2"/>
    <w:rsid w:val="00795DC5"/>
    <w:rsid w:val="0079610F"/>
    <w:rsid w:val="00796B4F"/>
    <w:rsid w:val="00797517"/>
    <w:rsid w:val="007975D6"/>
    <w:rsid w:val="007A010E"/>
    <w:rsid w:val="007A0A9B"/>
    <w:rsid w:val="007A1240"/>
    <w:rsid w:val="007A19A6"/>
    <w:rsid w:val="007A284D"/>
    <w:rsid w:val="007A2866"/>
    <w:rsid w:val="007A28BA"/>
    <w:rsid w:val="007A2A73"/>
    <w:rsid w:val="007A35A8"/>
    <w:rsid w:val="007A5401"/>
    <w:rsid w:val="007A5E28"/>
    <w:rsid w:val="007A74C8"/>
    <w:rsid w:val="007A78CC"/>
    <w:rsid w:val="007B0AFF"/>
    <w:rsid w:val="007B0E8E"/>
    <w:rsid w:val="007B1A0E"/>
    <w:rsid w:val="007B1AF8"/>
    <w:rsid w:val="007B22CB"/>
    <w:rsid w:val="007B252A"/>
    <w:rsid w:val="007B50FB"/>
    <w:rsid w:val="007B55DE"/>
    <w:rsid w:val="007B5754"/>
    <w:rsid w:val="007B5D21"/>
    <w:rsid w:val="007B7B46"/>
    <w:rsid w:val="007C0306"/>
    <w:rsid w:val="007C12B3"/>
    <w:rsid w:val="007C1495"/>
    <w:rsid w:val="007C22E0"/>
    <w:rsid w:val="007C289A"/>
    <w:rsid w:val="007C2BB2"/>
    <w:rsid w:val="007C2FA9"/>
    <w:rsid w:val="007C3CFF"/>
    <w:rsid w:val="007C3E2F"/>
    <w:rsid w:val="007C6084"/>
    <w:rsid w:val="007D1530"/>
    <w:rsid w:val="007D1BC9"/>
    <w:rsid w:val="007D330C"/>
    <w:rsid w:val="007D48C5"/>
    <w:rsid w:val="007D4EC2"/>
    <w:rsid w:val="007D630D"/>
    <w:rsid w:val="007D66E6"/>
    <w:rsid w:val="007D69C9"/>
    <w:rsid w:val="007D6F93"/>
    <w:rsid w:val="007D706E"/>
    <w:rsid w:val="007D70A4"/>
    <w:rsid w:val="007D790F"/>
    <w:rsid w:val="007D7B7B"/>
    <w:rsid w:val="007E0052"/>
    <w:rsid w:val="007E0243"/>
    <w:rsid w:val="007E133D"/>
    <w:rsid w:val="007E1653"/>
    <w:rsid w:val="007E1DA3"/>
    <w:rsid w:val="007E367A"/>
    <w:rsid w:val="007E66E2"/>
    <w:rsid w:val="007E6E1A"/>
    <w:rsid w:val="007F0D70"/>
    <w:rsid w:val="007F140A"/>
    <w:rsid w:val="007F190F"/>
    <w:rsid w:val="007F1B7A"/>
    <w:rsid w:val="007F1CDD"/>
    <w:rsid w:val="007F1D36"/>
    <w:rsid w:val="007F26A9"/>
    <w:rsid w:val="007F29E6"/>
    <w:rsid w:val="007F5EBA"/>
    <w:rsid w:val="007F7A77"/>
    <w:rsid w:val="007F7D86"/>
    <w:rsid w:val="00800128"/>
    <w:rsid w:val="008009E3"/>
    <w:rsid w:val="00800CF1"/>
    <w:rsid w:val="00800F57"/>
    <w:rsid w:val="0080165E"/>
    <w:rsid w:val="00802096"/>
    <w:rsid w:val="0080277D"/>
    <w:rsid w:val="00803385"/>
    <w:rsid w:val="00803989"/>
    <w:rsid w:val="008041B8"/>
    <w:rsid w:val="008043FE"/>
    <w:rsid w:val="00804E31"/>
    <w:rsid w:val="00804EF0"/>
    <w:rsid w:val="008052FD"/>
    <w:rsid w:val="00805602"/>
    <w:rsid w:val="008062D9"/>
    <w:rsid w:val="00807856"/>
    <w:rsid w:val="00807ED5"/>
    <w:rsid w:val="00807F36"/>
    <w:rsid w:val="0081158C"/>
    <w:rsid w:val="008131A4"/>
    <w:rsid w:val="00814F8A"/>
    <w:rsid w:val="008152E2"/>
    <w:rsid w:val="00815398"/>
    <w:rsid w:val="0081700B"/>
    <w:rsid w:val="0081743B"/>
    <w:rsid w:val="00820D61"/>
    <w:rsid w:val="00821105"/>
    <w:rsid w:val="00824331"/>
    <w:rsid w:val="00824818"/>
    <w:rsid w:val="00825EBD"/>
    <w:rsid w:val="00826588"/>
    <w:rsid w:val="00826645"/>
    <w:rsid w:val="00830057"/>
    <w:rsid w:val="00830D96"/>
    <w:rsid w:val="00831640"/>
    <w:rsid w:val="008317E8"/>
    <w:rsid w:val="008318E6"/>
    <w:rsid w:val="00831AF6"/>
    <w:rsid w:val="00831EB0"/>
    <w:rsid w:val="00832189"/>
    <w:rsid w:val="008322F7"/>
    <w:rsid w:val="008334F4"/>
    <w:rsid w:val="008341E6"/>
    <w:rsid w:val="008349E2"/>
    <w:rsid w:val="00835531"/>
    <w:rsid w:val="0083561B"/>
    <w:rsid w:val="00836384"/>
    <w:rsid w:val="008364AC"/>
    <w:rsid w:val="00840DC0"/>
    <w:rsid w:val="008414F6"/>
    <w:rsid w:val="00841A67"/>
    <w:rsid w:val="00842545"/>
    <w:rsid w:val="00842A99"/>
    <w:rsid w:val="0084351F"/>
    <w:rsid w:val="00843F39"/>
    <w:rsid w:val="00844CF7"/>
    <w:rsid w:val="00844D93"/>
    <w:rsid w:val="00844DC4"/>
    <w:rsid w:val="008453ED"/>
    <w:rsid w:val="00845CFF"/>
    <w:rsid w:val="0084652F"/>
    <w:rsid w:val="008474FE"/>
    <w:rsid w:val="00847700"/>
    <w:rsid w:val="008502B1"/>
    <w:rsid w:val="00850576"/>
    <w:rsid w:val="00850DAD"/>
    <w:rsid w:val="00851645"/>
    <w:rsid w:val="00851D1B"/>
    <w:rsid w:val="0085496D"/>
    <w:rsid w:val="00855B3C"/>
    <w:rsid w:val="0085613B"/>
    <w:rsid w:val="008561B8"/>
    <w:rsid w:val="0085768B"/>
    <w:rsid w:val="00862BB5"/>
    <w:rsid w:val="00862D5A"/>
    <w:rsid w:val="0086381D"/>
    <w:rsid w:val="00863FE6"/>
    <w:rsid w:val="00864850"/>
    <w:rsid w:val="00864B1B"/>
    <w:rsid w:val="00865053"/>
    <w:rsid w:val="00865992"/>
    <w:rsid w:val="00865DBA"/>
    <w:rsid w:val="00866977"/>
    <w:rsid w:val="00866A0F"/>
    <w:rsid w:val="00866C3D"/>
    <w:rsid w:val="00867A25"/>
    <w:rsid w:val="008739A0"/>
    <w:rsid w:val="00873C2F"/>
    <w:rsid w:val="00874D04"/>
    <w:rsid w:val="00875554"/>
    <w:rsid w:val="00876D15"/>
    <w:rsid w:val="00876D50"/>
    <w:rsid w:val="008808A4"/>
    <w:rsid w:val="00880FE7"/>
    <w:rsid w:val="008811D1"/>
    <w:rsid w:val="00881916"/>
    <w:rsid w:val="00881A1C"/>
    <w:rsid w:val="00881C2B"/>
    <w:rsid w:val="00881D35"/>
    <w:rsid w:val="008836E9"/>
    <w:rsid w:val="0088387A"/>
    <w:rsid w:val="00883A1E"/>
    <w:rsid w:val="00883EFC"/>
    <w:rsid w:val="00884AC8"/>
    <w:rsid w:val="00884D1F"/>
    <w:rsid w:val="00885DAD"/>
    <w:rsid w:val="0089008F"/>
    <w:rsid w:val="00890541"/>
    <w:rsid w:val="0089284C"/>
    <w:rsid w:val="008936A5"/>
    <w:rsid w:val="00894693"/>
    <w:rsid w:val="00895926"/>
    <w:rsid w:val="00895950"/>
    <w:rsid w:val="00896D6D"/>
    <w:rsid w:val="00897254"/>
    <w:rsid w:val="00897421"/>
    <w:rsid w:val="008A1582"/>
    <w:rsid w:val="008A27F7"/>
    <w:rsid w:val="008A3949"/>
    <w:rsid w:val="008A4133"/>
    <w:rsid w:val="008A46E7"/>
    <w:rsid w:val="008A494A"/>
    <w:rsid w:val="008A4DBF"/>
    <w:rsid w:val="008A53E5"/>
    <w:rsid w:val="008A5EC9"/>
    <w:rsid w:val="008A67FC"/>
    <w:rsid w:val="008A6BD9"/>
    <w:rsid w:val="008B052F"/>
    <w:rsid w:val="008B0EE5"/>
    <w:rsid w:val="008B17C8"/>
    <w:rsid w:val="008B189C"/>
    <w:rsid w:val="008B402A"/>
    <w:rsid w:val="008B4506"/>
    <w:rsid w:val="008B4ACF"/>
    <w:rsid w:val="008B4DAD"/>
    <w:rsid w:val="008B5E30"/>
    <w:rsid w:val="008B5FB4"/>
    <w:rsid w:val="008B67CB"/>
    <w:rsid w:val="008B7554"/>
    <w:rsid w:val="008C01DD"/>
    <w:rsid w:val="008C1674"/>
    <w:rsid w:val="008C18D9"/>
    <w:rsid w:val="008C1936"/>
    <w:rsid w:val="008C1C06"/>
    <w:rsid w:val="008C2A8F"/>
    <w:rsid w:val="008C37A9"/>
    <w:rsid w:val="008C3FE2"/>
    <w:rsid w:val="008C4E2C"/>
    <w:rsid w:val="008C5BC5"/>
    <w:rsid w:val="008C5E53"/>
    <w:rsid w:val="008C68FF"/>
    <w:rsid w:val="008C713B"/>
    <w:rsid w:val="008C7311"/>
    <w:rsid w:val="008C7D02"/>
    <w:rsid w:val="008D035C"/>
    <w:rsid w:val="008D0998"/>
    <w:rsid w:val="008D1156"/>
    <w:rsid w:val="008D1A8E"/>
    <w:rsid w:val="008D3737"/>
    <w:rsid w:val="008D3A2B"/>
    <w:rsid w:val="008D3A93"/>
    <w:rsid w:val="008D52C9"/>
    <w:rsid w:val="008D66CB"/>
    <w:rsid w:val="008D72D8"/>
    <w:rsid w:val="008D757C"/>
    <w:rsid w:val="008E1889"/>
    <w:rsid w:val="008E1F38"/>
    <w:rsid w:val="008E214F"/>
    <w:rsid w:val="008E222F"/>
    <w:rsid w:val="008E2714"/>
    <w:rsid w:val="008E3327"/>
    <w:rsid w:val="008E3B85"/>
    <w:rsid w:val="008E3F9D"/>
    <w:rsid w:val="008E6B5A"/>
    <w:rsid w:val="008E6D5A"/>
    <w:rsid w:val="008F06ED"/>
    <w:rsid w:val="008F1C3C"/>
    <w:rsid w:val="008F2E28"/>
    <w:rsid w:val="008F3760"/>
    <w:rsid w:val="008F44A5"/>
    <w:rsid w:val="008F4CAA"/>
    <w:rsid w:val="008F56BB"/>
    <w:rsid w:val="008F5834"/>
    <w:rsid w:val="008F595B"/>
    <w:rsid w:val="00901471"/>
    <w:rsid w:val="00902837"/>
    <w:rsid w:val="009039B6"/>
    <w:rsid w:val="00903E75"/>
    <w:rsid w:val="009059C7"/>
    <w:rsid w:val="00905FDE"/>
    <w:rsid w:val="00906010"/>
    <w:rsid w:val="0091180D"/>
    <w:rsid w:val="00911C44"/>
    <w:rsid w:val="009128A5"/>
    <w:rsid w:val="00912F3F"/>
    <w:rsid w:val="00912F90"/>
    <w:rsid w:val="00913105"/>
    <w:rsid w:val="00913598"/>
    <w:rsid w:val="00913B3E"/>
    <w:rsid w:val="00913F49"/>
    <w:rsid w:val="0091541B"/>
    <w:rsid w:val="00915EB3"/>
    <w:rsid w:val="009168DD"/>
    <w:rsid w:val="009168E6"/>
    <w:rsid w:val="009172D2"/>
    <w:rsid w:val="00917681"/>
    <w:rsid w:val="00921454"/>
    <w:rsid w:val="0092163C"/>
    <w:rsid w:val="00921A5F"/>
    <w:rsid w:val="00921DDE"/>
    <w:rsid w:val="00922080"/>
    <w:rsid w:val="0092280E"/>
    <w:rsid w:val="00923A29"/>
    <w:rsid w:val="00923BD4"/>
    <w:rsid w:val="00923EBE"/>
    <w:rsid w:val="009257C5"/>
    <w:rsid w:val="00927B9C"/>
    <w:rsid w:val="00930587"/>
    <w:rsid w:val="0093062F"/>
    <w:rsid w:val="00931824"/>
    <w:rsid w:val="00931BE7"/>
    <w:rsid w:val="00931EB2"/>
    <w:rsid w:val="009321C3"/>
    <w:rsid w:val="009326ED"/>
    <w:rsid w:val="00932A2F"/>
    <w:rsid w:val="00933BEB"/>
    <w:rsid w:val="00933C89"/>
    <w:rsid w:val="00934028"/>
    <w:rsid w:val="00934B3F"/>
    <w:rsid w:val="00934FF4"/>
    <w:rsid w:val="009368AC"/>
    <w:rsid w:val="0093744B"/>
    <w:rsid w:val="009374D8"/>
    <w:rsid w:val="0094073A"/>
    <w:rsid w:val="00940AEE"/>
    <w:rsid w:val="009435EC"/>
    <w:rsid w:val="00943EB6"/>
    <w:rsid w:val="00943EBE"/>
    <w:rsid w:val="0094412E"/>
    <w:rsid w:val="009441C3"/>
    <w:rsid w:val="00945547"/>
    <w:rsid w:val="00946DB1"/>
    <w:rsid w:val="00947389"/>
    <w:rsid w:val="009479B1"/>
    <w:rsid w:val="0095090D"/>
    <w:rsid w:val="0095292A"/>
    <w:rsid w:val="00952CEE"/>
    <w:rsid w:val="00953254"/>
    <w:rsid w:val="00954B3E"/>
    <w:rsid w:val="00954F1A"/>
    <w:rsid w:val="00954F90"/>
    <w:rsid w:val="00955DC5"/>
    <w:rsid w:val="0095620B"/>
    <w:rsid w:val="009564BA"/>
    <w:rsid w:val="009566BB"/>
    <w:rsid w:val="0095686F"/>
    <w:rsid w:val="00957420"/>
    <w:rsid w:val="00957CB0"/>
    <w:rsid w:val="0096061E"/>
    <w:rsid w:val="00961330"/>
    <w:rsid w:val="00961F90"/>
    <w:rsid w:val="00962019"/>
    <w:rsid w:val="0096264D"/>
    <w:rsid w:val="009644C1"/>
    <w:rsid w:val="009650DE"/>
    <w:rsid w:val="00965390"/>
    <w:rsid w:val="0096576B"/>
    <w:rsid w:val="009664AA"/>
    <w:rsid w:val="00967381"/>
    <w:rsid w:val="009678FF"/>
    <w:rsid w:val="009709CB"/>
    <w:rsid w:val="0097186C"/>
    <w:rsid w:val="009723B7"/>
    <w:rsid w:val="0097278A"/>
    <w:rsid w:val="009731EB"/>
    <w:rsid w:val="00973838"/>
    <w:rsid w:val="0097465E"/>
    <w:rsid w:val="00974C39"/>
    <w:rsid w:val="00974E10"/>
    <w:rsid w:val="00975B59"/>
    <w:rsid w:val="00975CF9"/>
    <w:rsid w:val="00976A80"/>
    <w:rsid w:val="00976FAD"/>
    <w:rsid w:val="00977051"/>
    <w:rsid w:val="00980451"/>
    <w:rsid w:val="00980593"/>
    <w:rsid w:val="00981303"/>
    <w:rsid w:val="00981BA7"/>
    <w:rsid w:val="00981ED0"/>
    <w:rsid w:val="0098232D"/>
    <w:rsid w:val="00984507"/>
    <w:rsid w:val="00985758"/>
    <w:rsid w:val="009857D0"/>
    <w:rsid w:val="00985A9F"/>
    <w:rsid w:val="00985C4C"/>
    <w:rsid w:val="00985CAB"/>
    <w:rsid w:val="00985D5D"/>
    <w:rsid w:val="00985F7D"/>
    <w:rsid w:val="00986F5C"/>
    <w:rsid w:val="0099001D"/>
    <w:rsid w:val="00992072"/>
    <w:rsid w:val="009926C4"/>
    <w:rsid w:val="0099317E"/>
    <w:rsid w:val="0099449C"/>
    <w:rsid w:val="00994F71"/>
    <w:rsid w:val="00995026"/>
    <w:rsid w:val="00995065"/>
    <w:rsid w:val="0099582D"/>
    <w:rsid w:val="00996027"/>
    <w:rsid w:val="0099722D"/>
    <w:rsid w:val="009975BD"/>
    <w:rsid w:val="009976BB"/>
    <w:rsid w:val="009A19AA"/>
    <w:rsid w:val="009A3DC8"/>
    <w:rsid w:val="009A3E57"/>
    <w:rsid w:val="009A3E98"/>
    <w:rsid w:val="009A50C5"/>
    <w:rsid w:val="009A56FB"/>
    <w:rsid w:val="009A5F01"/>
    <w:rsid w:val="009A79F2"/>
    <w:rsid w:val="009B00EF"/>
    <w:rsid w:val="009B111D"/>
    <w:rsid w:val="009B165C"/>
    <w:rsid w:val="009B2A20"/>
    <w:rsid w:val="009B2DDD"/>
    <w:rsid w:val="009B369F"/>
    <w:rsid w:val="009B4C8B"/>
    <w:rsid w:val="009B4CB5"/>
    <w:rsid w:val="009B5A23"/>
    <w:rsid w:val="009B6621"/>
    <w:rsid w:val="009B74FD"/>
    <w:rsid w:val="009C1FD8"/>
    <w:rsid w:val="009C332D"/>
    <w:rsid w:val="009C6BDE"/>
    <w:rsid w:val="009C6C97"/>
    <w:rsid w:val="009C6D2B"/>
    <w:rsid w:val="009C7471"/>
    <w:rsid w:val="009C7742"/>
    <w:rsid w:val="009D2594"/>
    <w:rsid w:val="009D4548"/>
    <w:rsid w:val="009D714B"/>
    <w:rsid w:val="009D7331"/>
    <w:rsid w:val="009D7757"/>
    <w:rsid w:val="009D7AD0"/>
    <w:rsid w:val="009E046A"/>
    <w:rsid w:val="009E2094"/>
    <w:rsid w:val="009E2A80"/>
    <w:rsid w:val="009E3240"/>
    <w:rsid w:val="009E34C8"/>
    <w:rsid w:val="009E4409"/>
    <w:rsid w:val="009E596E"/>
    <w:rsid w:val="009E768B"/>
    <w:rsid w:val="009E7A2C"/>
    <w:rsid w:val="009E7DE3"/>
    <w:rsid w:val="009F1399"/>
    <w:rsid w:val="009F1E12"/>
    <w:rsid w:val="009F20C7"/>
    <w:rsid w:val="009F32AA"/>
    <w:rsid w:val="009F36F9"/>
    <w:rsid w:val="009F3B7A"/>
    <w:rsid w:val="009F4267"/>
    <w:rsid w:val="009F4871"/>
    <w:rsid w:val="009F4E07"/>
    <w:rsid w:val="009F5BD3"/>
    <w:rsid w:val="009F60EF"/>
    <w:rsid w:val="009F7FEF"/>
    <w:rsid w:val="00A006C9"/>
    <w:rsid w:val="00A0092E"/>
    <w:rsid w:val="00A03197"/>
    <w:rsid w:val="00A04C8F"/>
    <w:rsid w:val="00A05033"/>
    <w:rsid w:val="00A06542"/>
    <w:rsid w:val="00A06FBD"/>
    <w:rsid w:val="00A07A9D"/>
    <w:rsid w:val="00A10B43"/>
    <w:rsid w:val="00A1218E"/>
    <w:rsid w:val="00A12B19"/>
    <w:rsid w:val="00A143A6"/>
    <w:rsid w:val="00A15152"/>
    <w:rsid w:val="00A158CE"/>
    <w:rsid w:val="00A15C4C"/>
    <w:rsid w:val="00A1679E"/>
    <w:rsid w:val="00A169F7"/>
    <w:rsid w:val="00A17DD9"/>
    <w:rsid w:val="00A20AB2"/>
    <w:rsid w:val="00A21005"/>
    <w:rsid w:val="00A21325"/>
    <w:rsid w:val="00A223FE"/>
    <w:rsid w:val="00A22BC1"/>
    <w:rsid w:val="00A23121"/>
    <w:rsid w:val="00A24F77"/>
    <w:rsid w:val="00A25E9B"/>
    <w:rsid w:val="00A269B1"/>
    <w:rsid w:val="00A302A2"/>
    <w:rsid w:val="00A302F5"/>
    <w:rsid w:val="00A31206"/>
    <w:rsid w:val="00A317F7"/>
    <w:rsid w:val="00A32238"/>
    <w:rsid w:val="00A325FC"/>
    <w:rsid w:val="00A3547E"/>
    <w:rsid w:val="00A35D9E"/>
    <w:rsid w:val="00A3628E"/>
    <w:rsid w:val="00A36902"/>
    <w:rsid w:val="00A36B76"/>
    <w:rsid w:val="00A3768F"/>
    <w:rsid w:val="00A37E93"/>
    <w:rsid w:val="00A4031D"/>
    <w:rsid w:val="00A40943"/>
    <w:rsid w:val="00A40A05"/>
    <w:rsid w:val="00A41E26"/>
    <w:rsid w:val="00A421A6"/>
    <w:rsid w:val="00A421E4"/>
    <w:rsid w:val="00A42A20"/>
    <w:rsid w:val="00A42B1F"/>
    <w:rsid w:val="00A438BF"/>
    <w:rsid w:val="00A43EDD"/>
    <w:rsid w:val="00A44005"/>
    <w:rsid w:val="00A44ED3"/>
    <w:rsid w:val="00A51E62"/>
    <w:rsid w:val="00A53D1F"/>
    <w:rsid w:val="00A5435B"/>
    <w:rsid w:val="00A545AD"/>
    <w:rsid w:val="00A55821"/>
    <w:rsid w:val="00A56BC2"/>
    <w:rsid w:val="00A6097B"/>
    <w:rsid w:val="00A60B7D"/>
    <w:rsid w:val="00A622C5"/>
    <w:rsid w:val="00A624E8"/>
    <w:rsid w:val="00A62F31"/>
    <w:rsid w:val="00A636EA"/>
    <w:rsid w:val="00A63A20"/>
    <w:rsid w:val="00A63DE1"/>
    <w:rsid w:val="00A64B15"/>
    <w:rsid w:val="00A6589E"/>
    <w:rsid w:val="00A669CB"/>
    <w:rsid w:val="00A672CD"/>
    <w:rsid w:val="00A70022"/>
    <w:rsid w:val="00A70C68"/>
    <w:rsid w:val="00A71323"/>
    <w:rsid w:val="00A719C1"/>
    <w:rsid w:val="00A72895"/>
    <w:rsid w:val="00A729BE"/>
    <w:rsid w:val="00A73227"/>
    <w:rsid w:val="00A73B4C"/>
    <w:rsid w:val="00A73C3B"/>
    <w:rsid w:val="00A745AF"/>
    <w:rsid w:val="00A76509"/>
    <w:rsid w:val="00A7688C"/>
    <w:rsid w:val="00A7731C"/>
    <w:rsid w:val="00A773FE"/>
    <w:rsid w:val="00A7770C"/>
    <w:rsid w:val="00A813B0"/>
    <w:rsid w:val="00A81C27"/>
    <w:rsid w:val="00A82FC0"/>
    <w:rsid w:val="00A837EF"/>
    <w:rsid w:val="00A83C7D"/>
    <w:rsid w:val="00A869EE"/>
    <w:rsid w:val="00A86E98"/>
    <w:rsid w:val="00A90B88"/>
    <w:rsid w:val="00A92960"/>
    <w:rsid w:val="00A9400B"/>
    <w:rsid w:val="00A95D09"/>
    <w:rsid w:val="00A96355"/>
    <w:rsid w:val="00A96F73"/>
    <w:rsid w:val="00A976C9"/>
    <w:rsid w:val="00AA010F"/>
    <w:rsid w:val="00AA0A18"/>
    <w:rsid w:val="00AA36E2"/>
    <w:rsid w:val="00AA39EE"/>
    <w:rsid w:val="00AA3BA2"/>
    <w:rsid w:val="00AA3C4F"/>
    <w:rsid w:val="00AA3FD3"/>
    <w:rsid w:val="00AB0827"/>
    <w:rsid w:val="00AB095D"/>
    <w:rsid w:val="00AB0E9E"/>
    <w:rsid w:val="00AB1A91"/>
    <w:rsid w:val="00AB1B07"/>
    <w:rsid w:val="00AB2609"/>
    <w:rsid w:val="00AB34EF"/>
    <w:rsid w:val="00AB38DB"/>
    <w:rsid w:val="00AB4162"/>
    <w:rsid w:val="00AB49F3"/>
    <w:rsid w:val="00AB5209"/>
    <w:rsid w:val="00AB521A"/>
    <w:rsid w:val="00AB55B2"/>
    <w:rsid w:val="00AB5CA2"/>
    <w:rsid w:val="00AB7120"/>
    <w:rsid w:val="00AB7593"/>
    <w:rsid w:val="00AC015E"/>
    <w:rsid w:val="00AC0512"/>
    <w:rsid w:val="00AC38CB"/>
    <w:rsid w:val="00AC543E"/>
    <w:rsid w:val="00AC5AFD"/>
    <w:rsid w:val="00AC669F"/>
    <w:rsid w:val="00AC6F4E"/>
    <w:rsid w:val="00AC71EE"/>
    <w:rsid w:val="00AC7794"/>
    <w:rsid w:val="00AD027F"/>
    <w:rsid w:val="00AD064B"/>
    <w:rsid w:val="00AD0881"/>
    <w:rsid w:val="00AD10B6"/>
    <w:rsid w:val="00AD3235"/>
    <w:rsid w:val="00AD49B1"/>
    <w:rsid w:val="00AD5A1C"/>
    <w:rsid w:val="00AE06DA"/>
    <w:rsid w:val="00AE20BF"/>
    <w:rsid w:val="00AE3328"/>
    <w:rsid w:val="00AE48DC"/>
    <w:rsid w:val="00AE4A75"/>
    <w:rsid w:val="00AE6D0F"/>
    <w:rsid w:val="00AE737E"/>
    <w:rsid w:val="00AE7635"/>
    <w:rsid w:val="00AE775B"/>
    <w:rsid w:val="00AE7843"/>
    <w:rsid w:val="00AF0A40"/>
    <w:rsid w:val="00AF0AFE"/>
    <w:rsid w:val="00AF10CB"/>
    <w:rsid w:val="00AF2974"/>
    <w:rsid w:val="00AF2FAF"/>
    <w:rsid w:val="00AF3773"/>
    <w:rsid w:val="00AF3F98"/>
    <w:rsid w:val="00AF4C00"/>
    <w:rsid w:val="00B002D7"/>
    <w:rsid w:val="00B00723"/>
    <w:rsid w:val="00B0076E"/>
    <w:rsid w:val="00B00C7A"/>
    <w:rsid w:val="00B01A78"/>
    <w:rsid w:val="00B01EA2"/>
    <w:rsid w:val="00B0207E"/>
    <w:rsid w:val="00B021A2"/>
    <w:rsid w:val="00B026AC"/>
    <w:rsid w:val="00B039AF"/>
    <w:rsid w:val="00B040E8"/>
    <w:rsid w:val="00B04566"/>
    <w:rsid w:val="00B0458A"/>
    <w:rsid w:val="00B0617C"/>
    <w:rsid w:val="00B07098"/>
    <w:rsid w:val="00B07232"/>
    <w:rsid w:val="00B0743B"/>
    <w:rsid w:val="00B10E9D"/>
    <w:rsid w:val="00B1126A"/>
    <w:rsid w:val="00B114F9"/>
    <w:rsid w:val="00B11795"/>
    <w:rsid w:val="00B122AB"/>
    <w:rsid w:val="00B12B1D"/>
    <w:rsid w:val="00B14E18"/>
    <w:rsid w:val="00B151E8"/>
    <w:rsid w:val="00B15F95"/>
    <w:rsid w:val="00B16079"/>
    <w:rsid w:val="00B16625"/>
    <w:rsid w:val="00B168FB"/>
    <w:rsid w:val="00B16EA5"/>
    <w:rsid w:val="00B17F7E"/>
    <w:rsid w:val="00B21717"/>
    <w:rsid w:val="00B21F15"/>
    <w:rsid w:val="00B21F55"/>
    <w:rsid w:val="00B228D1"/>
    <w:rsid w:val="00B22C99"/>
    <w:rsid w:val="00B24B73"/>
    <w:rsid w:val="00B2500D"/>
    <w:rsid w:val="00B257E4"/>
    <w:rsid w:val="00B25E9A"/>
    <w:rsid w:val="00B269B6"/>
    <w:rsid w:val="00B30D6B"/>
    <w:rsid w:val="00B32A53"/>
    <w:rsid w:val="00B32EF3"/>
    <w:rsid w:val="00B33206"/>
    <w:rsid w:val="00B34292"/>
    <w:rsid w:val="00B351BA"/>
    <w:rsid w:val="00B35458"/>
    <w:rsid w:val="00B35A15"/>
    <w:rsid w:val="00B35E4D"/>
    <w:rsid w:val="00B367ED"/>
    <w:rsid w:val="00B37469"/>
    <w:rsid w:val="00B379D2"/>
    <w:rsid w:val="00B37AF6"/>
    <w:rsid w:val="00B414DD"/>
    <w:rsid w:val="00B4215A"/>
    <w:rsid w:val="00B4263C"/>
    <w:rsid w:val="00B42FB7"/>
    <w:rsid w:val="00B43531"/>
    <w:rsid w:val="00B44BF6"/>
    <w:rsid w:val="00B45E84"/>
    <w:rsid w:val="00B46BFC"/>
    <w:rsid w:val="00B50579"/>
    <w:rsid w:val="00B5183D"/>
    <w:rsid w:val="00B52728"/>
    <w:rsid w:val="00B52AF0"/>
    <w:rsid w:val="00B5314C"/>
    <w:rsid w:val="00B55ABF"/>
    <w:rsid w:val="00B57353"/>
    <w:rsid w:val="00B5769E"/>
    <w:rsid w:val="00B60459"/>
    <w:rsid w:val="00B60FDC"/>
    <w:rsid w:val="00B61A74"/>
    <w:rsid w:val="00B61F13"/>
    <w:rsid w:val="00B620D3"/>
    <w:rsid w:val="00B631B4"/>
    <w:rsid w:val="00B6330B"/>
    <w:rsid w:val="00B63E3F"/>
    <w:rsid w:val="00B63EBE"/>
    <w:rsid w:val="00B65F07"/>
    <w:rsid w:val="00B66C36"/>
    <w:rsid w:val="00B70418"/>
    <w:rsid w:val="00B705E1"/>
    <w:rsid w:val="00B710C1"/>
    <w:rsid w:val="00B71155"/>
    <w:rsid w:val="00B716EB"/>
    <w:rsid w:val="00B71FB3"/>
    <w:rsid w:val="00B724B6"/>
    <w:rsid w:val="00B72502"/>
    <w:rsid w:val="00B72AA5"/>
    <w:rsid w:val="00B735C4"/>
    <w:rsid w:val="00B741A1"/>
    <w:rsid w:val="00B744EF"/>
    <w:rsid w:val="00B748FF"/>
    <w:rsid w:val="00B75079"/>
    <w:rsid w:val="00B754C3"/>
    <w:rsid w:val="00B75E5D"/>
    <w:rsid w:val="00B76168"/>
    <w:rsid w:val="00B7629F"/>
    <w:rsid w:val="00B81508"/>
    <w:rsid w:val="00B81B30"/>
    <w:rsid w:val="00B822F7"/>
    <w:rsid w:val="00B830A9"/>
    <w:rsid w:val="00B83B47"/>
    <w:rsid w:val="00B84B9B"/>
    <w:rsid w:val="00B856A9"/>
    <w:rsid w:val="00B85B44"/>
    <w:rsid w:val="00B909B3"/>
    <w:rsid w:val="00B90F13"/>
    <w:rsid w:val="00B910C9"/>
    <w:rsid w:val="00B910E6"/>
    <w:rsid w:val="00B9158B"/>
    <w:rsid w:val="00B91F7F"/>
    <w:rsid w:val="00B9366A"/>
    <w:rsid w:val="00B94DCB"/>
    <w:rsid w:val="00B94FC6"/>
    <w:rsid w:val="00B954CF"/>
    <w:rsid w:val="00B95B53"/>
    <w:rsid w:val="00B95CB4"/>
    <w:rsid w:val="00B96B2C"/>
    <w:rsid w:val="00BA0D74"/>
    <w:rsid w:val="00BA47AA"/>
    <w:rsid w:val="00BA4830"/>
    <w:rsid w:val="00BA60AE"/>
    <w:rsid w:val="00BA62C8"/>
    <w:rsid w:val="00BA7A51"/>
    <w:rsid w:val="00BB0C71"/>
    <w:rsid w:val="00BB2430"/>
    <w:rsid w:val="00BB299A"/>
    <w:rsid w:val="00BB3191"/>
    <w:rsid w:val="00BB3BCE"/>
    <w:rsid w:val="00BB4240"/>
    <w:rsid w:val="00BB6E13"/>
    <w:rsid w:val="00BB7B12"/>
    <w:rsid w:val="00BC0117"/>
    <w:rsid w:val="00BC0CA6"/>
    <w:rsid w:val="00BC0E0D"/>
    <w:rsid w:val="00BC0F92"/>
    <w:rsid w:val="00BC1528"/>
    <w:rsid w:val="00BC1751"/>
    <w:rsid w:val="00BC1960"/>
    <w:rsid w:val="00BC225A"/>
    <w:rsid w:val="00BC2280"/>
    <w:rsid w:val="00BC34E5"/>
    <w:rsid w:val="00BC3BA7"/>
    <w:rsid w:val="00BC3C8C"/>
    <w:rsid w:val="00BC51B5"/>
    <w:rsid w:val="00BC7D60"/>
    <w:rsid w:val="00BD1101"/>
    <w:rsid w:val="00BD1289"/>
    <w:rsid w:val="00BD134C"/>
    <w:rsid w:val="00BD35F9"/>
    <w:rsid w:val="00BD392A"/>
    <w:rsid w:val="00BD50B0"/>
    <w:rsid w:val="00BD54D5"/>
    <w:rsid w:val="00BD56EC"/>
    <w:rsid w:val="00BD58C2"/>
    <w:rsid w:val="00BE0158"/>
    <w:rsid w:val="00BE07D6"/>
    <w:rsid w:val="00BE0CB0"/>
    <w:rsid w:val="00BE1414"/>
    <w:rsid w:val="00BE3F23"/>
    <w:rsid w:val="00BE455D"/>
    <w:rsid w:val="00BE47CB"/>
    <w:rsid w:val="00BE62DC"/>
    <w:rsid w:val="00BE6FBC"/>
    <w:rsid w:val="00BE78C6"/>
    <w:rsid w:val="00BE7ABB"/>
    <w:rsid w:val="00BF17E9"/>
    <w:rsid w:val="00BF3579"/>
    <w:rsid w:val="00BF38F1"/>
    <w:rsid w:val="00BF525E"/>
    <w:rsid w:val="00BF58DD"/>
    <w:rsid w:val="00BF66F3"/>
    <w:rsid w:val="00BF6F08"/>
    <w:rsid w:val="00BF70B2"/>
    <w:rsid w:val="00BF76A9"/>
    <w:rsid w:val="00C002FF"/>
    <w:rsid w:val="00C00CFC"/>
    <w:rsid w:val="00C01A5F"/>
    <w:rsid w:val="00C01BE8"/>
    <w:rsid w:val="00C01CE1"/>
    <w:rsid w:val="00C0286E"/>
    <w:rsid w:val="00C035A5"/>
    <w:rsid w:val="00C03F86"/>
    <w:rsid w:val="00C03FF6"/>
    <w:rsid w:val="00C0451B"/>
    <w:rsid w:val="00C05099"/>
    <w:rsid w:val="00C0549D"/>
    <w:rsid w:val="00C0610F"/>
    <w:rsid w:val="00C06222"/>
    <w:rsid w:val="00C0657F"/>
    <w:rsid w:val="00C071A1"/>
    <w:rsid w:val="00C10EB2"/>
    <w:rsid w:val="00C11687"/>
    <w:rsid w:val="00C139C3"/>
    <w:rsid w:val="00C150CA"/>
    <w:rsid w:val="00C15195"/>
    <w:rsid w:val="00C153C0"/>
    <w:rsid w:val="00C15A29"/>
    <w:rsid w:val="00C16724"/>
    <w:rsid w:val="00C17881"/>
    <w:rsid w:val="00C200BE"/>
    <w:rsid w:val="00C20516"/>
    <w:rsid w:val="00C20665"/>
    <w:rsid w:val="00C20C81"/>
    <w:rsid w:val="00C2160D"/>
    <w:rsid w:val="00C22A5C"/>
    <w:rsid w:val="00C25D35"/>
    <w:rsid w:val="00C27692"/>
    <w:rsid w:val="00C277B6"/>
    <w:rsid w:val="00C27C1F"/>
    <w:rsid w:val="00C27C81"/>
    <w:rsid w:val="00C30688"/>
    <w:rsid w:val="00C30950"/>
    <w:rsid w:val="00C31579"/>
    <w:rsid w:val="00C31884"/>
    <w:rsid w:val="00C3284F"/>
    <w:rsid w:val="00C32E80"/>
    <w:rsid w:val="00C33CEB"/>
    <w:rsid w:val="00C35053"/>
    <w:rsid w:val="00C36429"/>
    <w:rsid w:val="00C37A0A"/>
    <w:rsid w:val="00C401BC"/>
    <w:rsid w:val="00C40445"/>
    <w:rsid w:val="00C43D81"/>
    <w:rsid w:val="00C44EBB"/>
    <w:rsid w:val="00C453B4"/>
    <w:rsid w:val="00C45E9C"/>
    <w:rsid w:val="00C50209"/>
    <w:rsid w:val="00C50D15"/>
    <w:rsid w:val="00C514EF"/>
    <w:rsid w:val="00C52313"/>
    <w:rsid w:val="00C52864"/>
    <w:rsid w:val="00C52B27"/>
    <w:rsid w:val="00C5304B"/>
    <w:rsid w:val="00C53B18"/>
    <w:rsid w:val="00C54694"/>
    <w:rsid w:val="00C55B1B"/>
    <w:rsid w:val="00C57A50"/>
    <w:rsid w:val="00C57C69"/>
    <w:rsid w:val="00C57CEE"/>
    <w:rsid w:val="00C57EB3"/>
    <w:rsid w:val="00C61669"/>
    <w:rsid w:val="00C61AE5"/>
    <w:rsid w:val="00C62240"/>
    <w:rsid w:val="00C62298"/>
    <w:rsid w:val="00C6314D"/>
    <w:rsid w:val="00C63E10"/>
    <w:rsid w:val="00C660A8"/>
    <w:rsid w:val="00C6698D"/>
    <w:rsid w:val="00C66B89"/>
    <w:rsid w:val="00C6763E"/>
    <w:rsid w:val="00C67CC9"/>
    <w:rsid w:val="00C70B02"/>
    <w:rsid w:val="00C7135E"/>
    <w:rsid w:val="00C719AC"/>
    <w:rsid w:val="00C72AFE"/>
    <w:rsid w:val="00C732BF"/>
    <w:rsid w:val="00C73473"/>
    <w:rsid w:val="00C739A6"/>
    <w:rsid w:val="00C74819"/>
    <w:rsid w:val="00C74A9C"/>
    <w:rsid w:val="00C74EC8"/>
    <w:rsid w:val="00C75332"/>
    <w:rsid w:val="00C757AC"/>
    <w:rsid w:val="00C7697F"/>
    <w:rsid w:val="00C76D25"/>
    <w:rsid w:val="00C77587"/>
    <w:rsid w:val="00C776F1"/>
    <w:rsid w:val="00C77D35"/>
    <w:rsid w:val="00C81663"/>
    <w:rsid w:val="00C81D46"/>
    <w:rsid w:val="00C8527F"/>
    <w:rsid w:val="00C871D1"/>
    <w:rsid w:val="00C90A39"/>
    <w:rsid w:val="00C91B6A"/>
    <w:rsid w:val="00C936F5"/>
    <w:rsid w:val="00C93A92"/>
    <w:rsid w:val="00C946A2"/>
    <w:rsid w:val="00C947D8"/>
    <w:rsid w:val="00C94E5E"/>
    <w:rsid w:val="00C964D6"/>
    <w:rsid w:val="00C97C05"/>
    <w:rsid w:val="00CA1566"/>
    <w:rsid w:val="00CA1581"/>
    <w:rsid w:val="00CA28A1"/>
    <w:rsid w:val="00CA55C7"/>
    <w:rsid w:val="00CA5929"/>
    <w:rsid w:val="00CA5DA8"/>
    <w:rsid w:val="00CA60C6"/>
    <w:rsid w:val="00CA6306"/>
    <w:rsid w:val="00CA731A"/>
    <w:rsid w:val="00CA7601"/>
    <w:rsid w:val="00CB0378"/>
    <w:rsid w:val="00CB36D2"/>
    <w:rsid w:val="00CB3B5E"/>
    <w:rsid w:val="00CB4326"/>
    <w:rsid w:val="00CB4602"/>
    <w:rsid w:val="00CB4CA5"/>
    <w:rsid w:val="00CB4E71"/>
    <w:rsid w:val="00CB5885"/>
    <w:rsid w:val="00CB5B28"/>
    <w:rsid w:val="00CB6797"/>
    <w:rsid w:val="00CB79F7"/>
    <w:rsid w:val="00CC1809"/>
    <w:rsid w:val="00CC2075"/>
    <w:rsid w:val="00CC2261"/>
    <w:rsid w:val="00CC2328"/>
    <w:rsid w:val="00CC2443"/>
    <w:rsid w:val="00CC4B5E"/>
    <w:rsid w:val="00CC4F3C"/>
    <w:rsid w:val="00CC646A"/>
    <w:rsid w:val="00CC684A"/>
    <w:rsid w:val="00CD2749"/>
    <w:rsid w:val="00CD2A17"/>
    <w:rsid w:val="00CD3242"/>
    <w:rsid w:val="00CD3634"/>
    <w:rsid w:val="00CD384A"/>
    <w:rsid w:val="00CD39CC"/>
    <w:rsid w:val="00CD57C6"/>
    <w:rsid w:val="00CD5A58"/>
    <w:rsid w:val="00CD5F04"/>
    <w:rsid w:val="00CD6EC9"/>
    <w:rsid w:val="00CD7E2A"/>
    <w:rsid w:val="00CE041C"/>
    <w:rsid w:val="00CE0903"/>
    <w:rsid w:val="00CE216B"/>
    <w:rsid w:val="00CE245E"/>
    <w:rsid w:val="00CE2B6C"/>
    <w:rsid w:val="00CE2B9E"/>
    <w:rsid w:val="00CE2C60"/>
    <w:rsid w:val="00CE3A0A"/>
    <w:rsid w:val="00CE4461"/>
    <w:rsid w:val="00CE54B2"/>
    <w:rsid w:val="00CE5753"/>
    <w:rsid w:val="00CE5E42"/>
    <w:rsid w:val="00CE6E76"/>
    <w:rsid w:val="00CE770D"/>
    <w:rsid w:val="00CF02B4"/>
    <w:rsid w:val="00CF157B"/>
    <w:rsid w:val="00CF2C90"/>
    <w:rsid w:val="00CF3122"/>
    <w:rsid w:val="00CF3568"/>
    <w:rsid w:val="00CF4437"/>
    <w:rsid w:val="00CF4497"/>
    <w:rsid w:val="00CF478A"/>
    <w:rsid w:val="00CF4CFA"/>
    <w:rsid w:val="00CF56CF"/>
    <w:rsid w:val="00CF5A4D"/>
    <w:rsid w:val="00CF60A5"/>
    <w:rsid w:val="00CF6604"/>
    <w:rsid w:val="00CF72AA"/>
    <w:rsid w:val="00CF7AF1"/>
    <w:rsid w:val="00D0092D"/>
    <w:rsid w:val="00D00FC2"/>
    <w:rsid w:val="00D035CC"/>
    <w:rsid w:val="00D039A9"/>
    <w:rsid w:val="00D03DFC"/>
    <w:rsid w:val="00D04803"/>
    <w:rsid w:val="00D05F2C"/>
    <w:rsid w:val="00D06789"/>
    <w:rsid w:val="00D0687A"/>
    <w:rsid w:val="00D068BA"/>
    <w:rsid w:val="00D06C44"/>
    <w:rsid w:val="00D10D18"/>
    <w:rsid w:val="00D115DB"/>
    <w:rsid w:val="00D1227F"/>
    <w:rsid w:val="00D12A76"/>
    <w:rsid w:val="00D13F6A"/>
    <w:rsid w:val="00D17481"/>
    <w:rsid w:val="00D17741"/>
    <w:rsid w:val="00D209C2"/>
    <w:rsid w:val="00D20F9B"/>
    <w:rsid w:val="00D21CCF"/>
    <w:rsid w:val="00D21E44"/>
    <w:rsid w:val="00D226EE"/>
    <w:rsid w:val="00D236C9"/>
    <w:rsid w:val="00D24123"/>
    <w:rsid w:val="00D244A6"/>
    <w:rsid w:val="00D24AF7"/>
    <w:rsid w:val="00D26F88"/>
    <w:rsid w:val="00D27503"/>
    <w:rsid w:val="00D3028F"/>
    <w:rsid w:val="00D305DF"/>
    <w:rsid w:val="00D33FFC"/>
    <w:rsid w:val="00D348BD"/>
    <w:rsid w:val="00D36307"/>
    <w:rsid w:val="00D368D7"/>
    <w:rsid w:val="00D3721A"/>
    <w:rsid w:val="00D372FA"/>
    <w:rsid w:val="00D3766F"/>
    <w:rsid w:val="00D378C5"/>
    <w:rsid w:val="00D416E6"/>
    <w:rsid w:val="00D42705"/>
    <w:rsid w:val="00D4300D"/>
    <w:rsid w:val="00D43352"/>
    <w:rsid w:val="00D4465C"/>
    <w:rsid w:val="00D471E8"/>
    <w:rsid w:val="00D47792"/>
    <w:rsid w:val="00D47CBC"/>
    <w:rsid w:val="00D47D90"/>
    <w:rsid w:val="00D51110"/>
    <w:rsid w:val="00D513A7"/>
    <w:rsid w:val="00D51F93"/>
    <w:rsid w:val="00D52F10"/>
    <w:rsid w:val="00D5397D"/>
    <w:rsid w:val="00D5426C"/>
    <w:rsid w:val="00D54833"/>
    <w:rsid w:val="00D56C05"/>
    <w:rsid w:val="00D56E5C"/>
    <w:rsid w:val="00D575A4"/>
    <w:rsid w:val="00D61251"/>
    <w:rsid w:val="00D61BAC"/>
    <w:rsid w:val="00D62531"/>
    <w:rsid w:val="00D6296E"/>
    <w:rsid w:val="00D630EB"/>
    <w:rsid w:val="00D634DE"/>
    <w:rsid w:val="00D63636"/>
    <w:rsid w:val="00D6383F"/>
    <w:rsid w:val="00D638D0"/>
    <w:rsid w:val="00D657E0"/>
    <w:rsid w:val="00D65B08"/>
    <w:rsid w:val="00D65FFB"/>
    <w:rsid w:val="00D663FF"/>
    <w:rsid w:val="00D66807"/>
    <w:rsid w:val="00D67BFA"/>
    <w:rsid w:val="00D67CAA"/>
    <w:rsid w:val="00D70557"/>
    <w:rsid w:val="00D70C89"/>
    <w:rsid w:val="00D70D30"/>
    <w:rsid w:val="00D71CDA"/>
    <w:rsid w:val="00D72F74"/>
    <w:rsid w:val="00D743C7"/>
    <w:rsid w:val="00D752A5"/>
    <w:rsid w:val="00D7764D"/>
    <w:rsid w:val="00D77880"/>
    <w:rsid w:val="00D77EA7"/>
    <w:rsid w:val="00D8106F"/>
    <w:rsid w:val="00D8288F"/>
    <w:rsid w:val="00D83280"/>
    <w:rsid w:val="00D85105"/>
    <w:rsid w:val="00D85395"/>
    <w:rsid w:val="00D86242"/>
    <w:rsid w:val="00D873E8"/>
    <w:rsid w:val="00D87955"/>
    <w:rsid w:val="00D879BF"/>
    <w:rsid w:val="00D87CF8"/>
    <w:rsid w:val="00D90138"/>
    <w:rsid w:val="00D91797"/>
    <w:rsid w:val="00D92382"/>
    <w:rsid w:val="00D928D1"/>
    <w:rsid w:val="00D92B2C"/>
    <w:rsid w:val="00D9479A"/>
    <w:rsid w:val="00D95368"/>
    <w:rsid w:val="00D972B9"/>
    <w:rsid w:val="00DA0A8C"/>
    <w:rsid w:val="00DA1AFE"/>
    <w:rsid w:val="00DA1D69"/>
    <w:rsid w:val="00DA1DE5"/>
    <w:rsid w:val="00DA28C5"/>
    <w:rsid w:val="00DA2B2E"/>
    <w:rsid w:val="00DA3870"/>
    <w:rsid w:val="00DA5F17"/>
    <w:rsid w:val="00DA66D7"/>
    <w:rsid w:val="00DA6F26"/>
    <w:rsid w:val="00DA6F95"/>
    <w:rsid w:val="00DA7891"/>
    <w:rsid w:val="00DA7911"/>
    <w:rsid w:val="00DA7924"/>
    <w:rsid w:val="00DA7A66"/>
    <w:rsid w:val="00DB045C"/>
    <w:rsid w:val="00DB0C26"/>
    <w:rsid w:val="00DB0C2B"/>
    <w:rsid w:val="00DB1217"/>
    <w:rsid w:val="00DB17CB"/>
    <w:rsid w:val="00DB1C5D"/>
    <w:rsid w:val="00DB237B"/>
    <w:rsid w:val="00DB2386"/>
    <w:rsid w:val="00DB28F5"/>
    <w:rsid w:val="00DB2A23"/>
    <w:rsid w:val="00DB3770"/>
    <w:rsid w:val="00DB3B3B"/>
    <w:rsid w:val="00DB4AB1"/>
    <w:rsid w:val="00DB4C70"/>
    <w:rsid w:val="00DB64AD"/>
    <w:rsid w:val="00DB66E2"/>
    <w:rsid w:val="00DB67D4"/>
    <w:rsid w:val="00DC03FF"/>
    <w:rsid w:val="00DC0B0B"/>
    <w:rsid w:val="00DC1094"/>
    <w:rsid w:val="00DC130A"/>
    <w:rsid w:val="00DC1C4D"/>
    <w:rsid w:val="00DC2DE3"/>
    <w:rsid w:val="00DC2E15"/>
    <w:rsid w:val="00DC4A8F"/>
    <w:rsid w:val="00DC6517"/>
    <w:rsid w:val="00DC737C"/>
    <w:rsid w:val="00DD0BDA"/>
    <w:rsid w:val="00DD1675"/>
    <w:rsid w:val="00DD1F80"/>
    <w:rsid w:val="00DD2F50"/>
    <w:rsid w:val="00DD41A4"/>
    <w:rsid w:val="00DD624D"/>
    <w:rsid w:val="00DD65F9"/>
    <w:rsid w:val="00DD6889"/>
    <w:rsid w:val="00DD6BD6"/>
    <w:rsid w:val="00DD72DB"/>
    <w:rsid w:val="00DE022B"/>
    <w:rsid w:val="00DE0A3D"/>
    <w:rsid w:val="00DE2436"/>
    <w:rsid w:val="00DE34A8"/>
    <w:rsid w:val="00DE3C15"/>
    <w:rsid w:val="00DE6195"/>
    <w:rsid w:val="00DE6993"/>
    <w:rsid w:val="00DE7F45"/>
    <w:rsid w:val="00DF05DD"/>
    <w:rsid w:val="00DF0712"/>
    <w:rsid w:val="00DF1C45"/>
    <w:rsid w:val="00DF1FA7"/>
    <w:rsid w:val="00DF3344"/>
    <w:rsid w:val="00DF3D71"/>
    <w:rsid w:val="00DF3D97"/>
    <w:rsid w:val="00DF43AF"/>
    <w:rsid w:val="00DF47B6"/>
    <w:rsid w:val="00DF65F4"/>
    <w:rsid w:val="00DF67CB"/>
    <w:rsid w:val="00DF72BD"/>
    <w:rsid w:val="00E000DC"/>
    <w:rsid w:val="00E0039D"/>
    <w:rsid w:val="00E04177"/>
    <w:rsid w:val="00E04263"/>
    <w:rsid w:val="00E05D31"/>
    <w:rsid w:val="00E06DD6"/>
    <w:rsid w:val="00E074B8"/>
    <w:rsid w:val="00E0780C"/>
    <w:rsid w:val="00E101E2"/>
    <w:rsid w:val="00E1208E"/>
    <w:rsid w:val="00E12609"/>
    <w:rsid w:val="00E13BF1"/>
    <w:rsid w:val="00E140F2"/>
    <w:rsid w:val="00E14A08"/>
    <w:rsid w:val="00E14F45"/>
    <w:rsid w:val="00E16DB7"/>
    <w:rsid w:val="00E17CF3"/>
    <w:rsid w:val="00E204AC"/>
    <w:rsid w:val="00E20F09"/>
    <w:rsid w:val="00E21DB3"/>
    <w:rsid w:val="00E22A5A"/>
    <w:rsid w:val="00E2408D"/>
    <w:rsid w:val="00E249BD"/>
    <w:rsid w:val="00E24B08"/>
    <w:rsid w:val="00E24C51"/>
    <w:rsid w:val="00E24D6C"/>
    <w:rsid w:val="00E26287"/>
    <w:rsid w:val="00E271A3"/>
    <w:rsid w:val="00E302B0"/>
    <w:rsid w:val="00E306FE"/>
    <w:rsid w:val="00E30DC8"/>
    <w:rsid w:val="00E31774"/>
    <w:rsid w:val="00E31F3A"/>
    <w:rsid w:val="00E32469"/>
    <w:rsid w:val="00E33EE5"/>
    <w:rsid w:val="00E33F51"/>
    <w:rsid w:val="00E34AC2"/>
    <w:rsid w:val="00E34E67"/>
    <w:rsid w:val="00E353F4"/>
    <w:rsid w:val="00E354BE"/>
    <w:rsid w:val="00E369C1"/>
    <w:rsid w:val="00E37C1C"/>
    <w:rsid w:val="00E400D3"/>
    <w:rsid w:val="00E402C3"/>
    <w:rsid w:val="00E405A1"/>
    <w:rsid w:val="00E40C14"/>
    <w:rsid w:val="00E40E81"/>
    <w:rsid w:val="00E41145"/>
    <w:rsid w:val="00E41E48"/>
    <w:rsid w:val="00E42975"/>
    <w:rsid w:val="00E4377E"/>
    <w:rsid w:val="00E4381F"/>
    <w:rsid w:val="00E43CF7"/>
    <w:rsid w:val="00E45876"/>
    <w:rsid w:val="00E468B1"/>
    <w:rsid w:val="00E46B76"/>
    <w:rsid w:val="00E47235"/>
    <w:rsid w:val="00E505C5"/>
    <w:rsid w:val="00E51321"/>
    <w:rsid w:val="00E51DD5"/>
    <w:rsid w:val="00E5379D"/>
    <w:rsid w:val="00E551C7"/>
    <w:rsid w:val="00E551CB"/>
    <w:rsid w:val="00E55DD6"/>
    <w:rsid w:val="00E56E75"/>
    <w:rsid w:val="00E606BA"/>
    <w:rsid w:val="00E61585"/>
    <w:rsid w:val="00E616B8"/>
    <w:rsid w:val="00E62585"/>
    <w:rsid w:val="00E6275A"/>
    <w:rsid w:val="00E62EB3"/>
    <w:rsid w:val="00E63124"/>
    <w:rsid w:val="00E63F05"/>
    <w:rsid w:val="00E67991"/>
    <w:rsid w:val="00E70462"/>
    <w:rsid w:val="00E70548"/>
    <w:rsid w:val="00E70A88"/>
    <w:rsid w:val="00E70C2F"/>
    <w:rsid w:val="00E72287"/>
    <w:rsid w:val="00E72A0C"/>
    <w:rsid w:val="00E73142"/>
    <w:rsid w:val="00E73209"/>
    <w:rsid w:val="00E73308"/>
    <w:rsid w:val="00E7423E"/>
    <w:rsid w:val="00E74A3B"/>
    <w:rsid w:val="00E74DF3"/>
    <w:rsid w:val="00E753E7"/>
    <w:rsid w:val="00E75D00"/>
    <w:rsid w:val="00E760A6"/>
    <w:rsid w:val="00E762F8"/>
    <w:rsid w:val="00E76773"/>
    <w:rsid w:val="00E7678B"/>
    <w:rsid w:val="00E76B7A"/>
    <w:rsid w:val="00E803DA"/>
    <w:rsid w:val="00E81121"/>
    <w:rsid w:val="00E82051"/>
    <w:rsid w:val="00E827D7"/>
    <w:rsid w:val="00E8285B"/>
    <w:rsid w:val="00E82EDC"/>
    <w:rsid w:val="00E83175"/>
    <w:rsid w:val="00E83770"/>
    <w:rsid w:val="00E83BDA"/>
    <w:rsid w:val="00E8545D"/>
    <w:rsid w:val="00E8620D"/>
    <w:rsid w:val="00E8691B"/>
    <w:rsid w:val="00E86E66"/>
    <w:rsid w:val="00E8743D"/>
    <w:rsid w:val="00E91395"/>
    <w:rsid w:val="00E917C3"/>
    <w:rsid w:val="00E918E5"/>
    <w:rsid w:val="00E921ED"/>
    <w:rsid w:val="00E9246B"/>
    <w:rsid w:val="00E924C4"/>
    <w:rsid w:val="00E93AC3"/>
    <w:rsid w:val="00E94B50"/>
    <w:rsid w:val="00E94E2E"/>
    <w:rsid w:val="00E96A55"/>
    <w:rsid w:val="00EA253F"/>
    <w:rsid w:val="00EA2CB8"/>
    <w:rsid w:val="00EA2EB7"/>
    <w:rsid w:val="00EA3ECF"/>
    <w:rsid w:val="00EA40C5"/>
    <w:rsid w:val="00EA47FF"/>
    <w:rsid w:val="00EA735E"/>
    <w:rsid w:val="00EB16B7"/>
    <w:rsid w:val="00EB207F"/>
    <w:rsid w:val="00EB3DF0"/>
    <w:rsid w:val="00EB6040"/>
    <w:rsid w:val="00EB67B5"/>
    <w:rsid w:val="00EB75B7"/>
    <w:rsid w:val="00EC0A5E"/>
    <w:rsid w:val="00EC0C51"/>
    <w:rsid w:val="00EC14B1"/>
    <w:rsid w:val="00EC4BD8"/>
    <w:rsid w:val="00EC4D3B"/>
    <w:rsid w:val="00EC5486"/>
    <w:rsid w:val="00EC58C3"/>
    <w:rsid w:val="00EC6330"/>
    <w:rsid w:val="00EC6385"/>
    <w:rsid w:val="00EC71C8"/>
    <w:rsid w:val="00ED18A3"/>
    <w:rsid w:val="00ED2344"/>
    <w:rsid w:val="00ED2A37"/>
    <w:rsid w:val="00ED2FFA"/>
    <w:rsid w:val="00ED34CB"/>
    <w:rsid w:val="00ED4763"/>
    <w:rsid w:val="00ED57DA"/>
    <w:rsid w:val="00ED6679"/>
    <w:rsid w:val="00ED6FCF"/>
    <w:rsid w:val="00EE001E"/>
    <w:rsid w:val="00EE0A2A"/>
    <w:rsid w:val="00EE10AB"/>
    <w:rsid w:val="00EE1510"/>
    <w:rsid w:val="00EE1D52"/>
    <w:rsid w:val="00EE1FF1"/>
    <w:rsid w:val="00EE21FC"/>
    <w:rsid w:val="00EE31CD"/>
    <w:rsid w:val="00EE3412"/>
    <w:rsid w:val="00EE3A42"/>
    <w:rsid w:val="00EE3AE1"/>
    <w:rsid w:val="00EE4506"/>
    <w:rsid w:val="00EE55F8"/>
    <w:rsid w:val="00EE5718"/>
    <w:rsid w:val="00EE5ED1"/>
    <w:rsid w:val="00EE6C67"/>
    <w:rsid w:val="00EF071E"/>
    <w:rsid w:val="00EF195F"/>
    <w:rsid w:val="00EF1AF6"/>
    <w:rsid w:val="00EF36A7"/>
    <w:rsid w:val="00EF4AF8"/>
    <w:rsid w:val="00EF5742"/>
    <w:rsid w:val="00EF574D"/>
    <w:rsid w:val="00EF6C3A"/>
    <w:rsid w:val="00EF6F93"/>
    <w:rsid w:val="00EF70D0"/>
    <w:rsid w:val="00F0021E"/>
    <w:rsid w:val="00F01BF9"/>
    <w:rsid w:val="00F01E5A"/>
    <w:rsid w:val="00F0201D"/>
    <w:rsid w:val="00F02294"/>
    <w:rsid w:val="00F04C17"/>
    <w:rsid w:val="00F04C6A"/>
    <w:rsid w:val="00F07CBE"/>
    <w:rsid w:val="00F10F4E"/>
    <w:rsid w:val="00F11A43"/>
    <w:rsid w:val="00F11C58"/>
    <w:rsid w:val="00F13F60"/>
    <w:rsid w:val="00F14799"/>
    <w:rsid w:val="00F15A85"/>
    <w:rsid w:val="00F1632A"/>
    <w:rsid w:val="00F165DA"/>
    <w:rsid w:val="00F176C5"/>
    <w:rsid w:val="00F17942"/>
    <w:rsid w:val="00F1798F"/>
    <w:rsid w:val="00F2028C"/>
    <w:rsid w:val="00F2134F"/>
    <w:rsid w:val="00F222FB"/>
    <w:rsid w:val="00F229BC"/>
    <w:rsid w:val="00F23346"/>
    <w:rsid w:val="00F2499C"/>
    <w:rsid w:val="00F24EEE"/>
    <w:rsid w:val="00F250F7"/>
    <w:rsid w:val="00F26E03"/>
    <w:rsid w:val="00F303B8"/>
    <w:rsid w:val="00F3090A"/>
    <w:rsid w:val="00F31662"/>
    <w:rsid w:val="00F32251"/>
    <w:rsid w:val="00F35778"/>
    <w:rsid w:val="00F358CA"/>
    <w:rsid w:val="00F36DB2"/>
    <w:rsid w:val="00F372A3"/>
    <w:rsid w:val="00F402E8"/>
    <w:rsid w:val="00F4293D"/>
    <w:rsid w:val="00F42FAF"/>
    <w:rsid w:val="00F449A8"/>
    <w:rsid w:val="00F45577"/>
    <w:rsid w:val="00F46FBB"/>
    <w:rsid w:val="00F47370"/>
    <w:rsid w:val="00F47C1A"/>
    <w:rsid w:val="00F50F2A"/>
    <w:rsid w:val="00F5135F"/>
    <w:rsid w:val="00F53B95"/>
    <w:rsid w:val="00F54E01"/>
    <w:rsid w:val="00F5611F"/>
    <w:rsid w:val="00F56247"/>
    <w:rsid w:val="00F57378"/>
    <w:rsid w:val="00F6053A"/>
    <w:rsid w:val="00F6101B"/>
    <w:rsid w:val="00F6106B"/>
    <w:rsid w:val="00F61246"/>
    <w:rsid w:val="00F62C15"/>
    <w:rsid w:val="00F64D6B"/>
    <w:rsid w:val="00F64E3B"/>
    <w:rsid w:val="00F67E68"/>
    <w:rsid w:val="00F70C30"/>
    <w:rsid w:val="00F713E0"/>
    <w:rsid w:val="00F715B3"/>
    <w:rsid w:val="00F719CA"/>
    <w:rsid w:val="00F71B95"/>
    <w:rsid w:val="00F72209"/>
    <w:rsid w:val="00F7228D"/>
    <w:rsid w:val="00F72C2E"/>
    <w:rsid w:val="00F72CCB"/>
    <w:rsid w:val="00F733E6"/>
    <w:rsid w:val="00F73591"/>
    <w:rsid w:val="00F73F66"/>
    <w:rsid w:val="00F7502D"/>
    <w:rsid w:val="00F7609E"/>
    <w:rsid w:val="00F809C0"/>
    <w:rsid w:val="00F82808"/>
    <w:rsid w:val="00F82C95"/>
    <w:rsid w:val="00F82FC0"/>
    <w:rsid w:val="00F83927"/>
    <w:rsid w:val="00F83AC5"/>
    <w:rsid w:val="00F83FC1"/>
    <w:rsid w:val="00F8524C"/>
    <w:rsid w:val="00F863E6"/>
    <w:rsid w:val="00F900F1"/>
    <w:rsid w:val="00F90AEF"/>
    <w:rsid w:val="00F90BC0"/>
    <w:rsid w:val="00F9105A"/>
    <w:rsid w:val="00F91143"/>
    <w:rsid w:val="00F92A3B"/>
    <w:rsid w:val="00F93674"/>
    <w:rsid w:val="00F94F20"/>
    <w:rsid w:val="00F95630"/>
    <w:rsid w:val="00F959F0"/>
    <w:rsid w:val="00F95BCC"/>
    <w:rsid w:val="00F96223"/>
    <w:rsid w:val="00F96F81"/>
    <w:rsid w:val="00F9793E"/>
    <w:rsid w:val="00FA29FD"/>
    <w:rsid w:val="00FA3116"/>
    <w:rsid w:val="00FA373F"/>
    <w:rsid w:val="00FA4BFD"/>
    <w:rsid w:val="00FA4DBA"/>
    <w:rsid w:val="00FA4F29"/>
    <w:rsid w:val="00FA5770"/>
    <w:rsid w:val="00FA5E22"/>
    <w:rsid w:val="00FA70AF"/>
    <w:rsid w:val="00FA7A2A"/>
    <w:rsid w:val="00FB1E32"/>
    <w:rsid w:val="00FB1ED8"/>
    <w:rsid w:val="00FB2550"/>
    <w:rsid w:val="00FB269D"/>
    <w:rsid w:val="00FB3C33"/>
    <w:rsid w:val="00FB4300"/>
    <w:rsid w:val="00FB4886"/>
    <w:rsid w:val="00FB5DF3"/>
    <w:rsid w:val="00FB5E94"/>
    <w:rsid w:val="00FB638D"/>
    <w:rsid w:val="00FB709D"/>
    <w:rsid w:val="00FC12BE"/>
    <w:rsid w:val="00FC182B"/>
    <w:rsid w:val="00FC2065"/>
    <w:rsid w:val="00FC23A6"/>
    <w:rsid w:val="00FC413A"/>
    <w:rsid w:val="00FC5659"/>
    <w:rsid w:val="00FC5D38"/>
    <w:rsid w:val="00FC745E"/>
    <w:rsid w:val="00FC7EED"/>
    <w:rsid w:val="00FD087F"/>
    <w:rsid w:val="00FD0AD4"/>
    <w:rsid w:val="00FD10A2"/>
    <w:rsid w:val="00FD1790"/>
    <w:rsid w:val="00FD252D"/>
    <w:rsid w:val="00FD358C"/>
    <w:rsid w:val="00FD43C8"/>
    <w:rsid w:val="00FD4997"/>
    <w:rsid w:val="00FD580B"/>
    <w:rsid w:val="00FE1DA8"/>
    <w:rsid w:val="00FE3B18"/>
    <w:rsid w:val="00FE5066"/>
    <w:rsid w:val="00FE52AF"/>
    <w:rsid w:val="00FE5BF1"/>
    <w:rsid w:val="00FE60E1"/>
    <w:rsid w:val="00FE6E86"/>
    <w:rsid w:val="00FF1753"/>
    <w:rsid w:val="00FF26BD"/>
    <w:rsid w:val="00FF284A"/>
    <w:rsid w:val="00FF292F"/>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1356BDAF-DD23-468B-979D-76F61E43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BE0158"/>
    <w:pPr>
      <w:spacing w:before="100" w:beforeAutospacing="1" w:after="100" w:afterAutospacing="1"/>
    </w:pPr>
    <w:rPr>
      <w:lang w:val="ro-MD" w:eastAsia="ro-MD"/>
      <w14:ligatures w14:val="standardContextual"/>
    </w:rPr>
  </w:style>
  <w:style w:type="character" w:styleId="PlaceholderText">
    <w:name w:val="Placeholder Text"/>
    <w:basedOn w:val="DefaultParagraphFont"/>
    <w:uiPriority w:val="99"/>
    <w:semiHidden/>
    <w:rsid w:val="008453ED"/>
    <w:rPr>
      <w:color w:val="808080"/>
    </w:rPr>
  </w:style>
  <w:style w:type="character" w:customStyle="1" w:styleId="subscript">
    <w:name w:val="subscript"/>
    <w:basedOn w:val="DefaultParagraphFont"/>
    <w:rsid w:val="006F667E"/>
  </w:style>
  <w:style w:type="paragraph" w:customStyle="1" w:styleId="title-table">
    <w:name w:val="title-table"/>
    <w:basedOn w:val="Normal"/>
    <w:rsid w:val="006F667E"/>
    <w:pPr>
      <w:spacing w:before="100" w:beforeAutospacing="1" w:after="100" w:afterAutospacing="1"/>
    </w:pPr>
    <w:rPr>
      <w:lang w:val="ro-MD" w:eastAsia="ro-MD"/>
      <w14:ligatures w14:val="standardContextual"/>
    </w:rPr>
  </w:style>
  <w:style w:type="paragraph" w:customStyle="1" w:styleId="tbl-norm">
    <w:name w:val="tbl-norm"/>
    <w:basedOn w:val="Normal"/>
    <w:rsid w:val="006F667E"/>
    <w:pPr>
      <w:spacing w:before="100" w:beforeAutospacing="1" w:after="100" w:afterAutospacing="1"/>
    </w:pPr>
    <w:rPr>
      <w:lang w:val="ro-MD" w:eastAsia="ro-MD"/>
      <w14:ligatures w14:val="standardContextual"/>
    </w:rPr>
  </w:style>
  <w:style w:type="paragraph" w:customStyle="1" w:styleId="title-article-norm">
    <w:name w:val="title-article-norm"/>
    <w:basedOn w:val="Normal"/>
    <w:rsid w:val="006F667E"/>
    <w:pPr>
      <w:spacing w:before="100" w:beforeAutospacing="1" w:after="100" w:afterAutospacing="1"/>
    </w:pPr>
    <w:rPr>
      <w:lang w:val="ro-MD" w:eastAsia="ro-MD"/>
      <w14:ligatures w14:val="standardContextual"/>
    </w:rPr>
  </w:style>
  <w:style w:type="paragraph" w:customStyle="1" w:styleId="dlist-term">
    <w:name w:val="dlist-term"/>
    <w:basedOn w:val="Normal"/>
    <w:rsid w:val="006F667E"/>
    <w:pPr>
      <w:spacing w:before="100" w:beforeAutospacing="1" w:after="100" w:afterAutospacing="1"/>
    </w:pPr>
    <w:rPr>
      <w:lang w:val="ro-MD" w:eastAsia="ro-M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2608">
      <w:bodyDiv w:val="1"/>
      <w:marLeft w:val="0"/>
      <w:marRight w:val="0"/>
      <w:marTop w:val="0"/>
      <w:marBottom w:val="0"/>
      <w:divBdr>
        <w:top w:val="none" w:sz="0" w:space="0" w:color="auto"/>
        <w:left w:val="none" w:sz="0" w:space="0" w:color="auto"/>
        <w:bottom w:val="none" w:sz="0" w:space="0" w:color="auto"/>
        <w:right w:val="none" w:sz="0" w:space="0" w:color="auto"/>
      </w:divBdr>
    </w:div>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 w:id="1522628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5.xml><?xml version="1.0" encoding="utf-8"?>
<titus xmlns="http://schemas.titus.com/TitusProperties/">
  <TitusGUID xmlns="">fb7d9dae-0167-49d7-864f-68b392b7c860</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2.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4.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5.xml><?xml version="1.0" encoding="utf-8"?>
<ds:datastoreItem xmlns:ds="http://schemas.openxmlformats.org/officeDocument/2006/customXml" ds:itemID="{F1F42337-4177-4711-A623-26D912CD93E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10377</Words>
  <Characters>78768</Characters>
  <Application>Microsoft Office Word</Application>
  <DocSecurity>0</DocSecurity>
  <Lines>7876</Lines>
  <Paragraphs>2546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2026-06-26T15:04:00Z</cp:lastPrinted>
  <dcterms:created xsi:type="dcterms:W3CDTF">2026-06-26T15:05:00Z</dcterms:created>
  <dcterms:modified xsi:type="dcterms:W3CDTF">2026-06-26T15:05:00Z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